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国标黑体" w:hAnsi="国标黑体" w:eastAsia="国标黑体" w:cs="国标黑体"/>
          <w:sz w:val="32"/>
          <w:szCs w:val="28"/>
          <w:lang w:val="en-US" w:eastAsia="zh-CN"/>
        </w:rPr>
      </w:pPr>
      <w:r>
        <w:rPr>
          <w:rFonts w:hint="eastAsia" w:ascii="国标黑体" w:hAnsi="国标黑体" w:eastAsia="国标黑体" w:cs="国标黑体"/>
          <w:sz w:val="32"/>
          <w:szCs w:val="28"/>
          <w:lang w:eastAsia="zh-CN"/>
        </w:rPr>
        <w:t>附件</w:t>
      </w:r>
      <w:r>
        <w:rPr>
          <w:rFonts w:hint="eastAsia" w:ascii="国标黑体" w:hAnsi="国标黑体" w:eastAsia="国标黑体" w:cs="国标黑体"/>
          <w:sz w:val="32"/>
          <w:szCs w:val="28"/>
          <w:lang w:val="en-US" w:eastAsia="zh-CN"/>
        </w:rPr>
        <w:t>3</w:t>
      </w:r>
    </w:p>
    <w:p>
      <w:pPr>
        <w:jc w:val="center"/>
        <w:rPr>
          <w:rFonts w:hint="eastAsia" w:ascii="方正小标宋简体" w:hAnsi="方正小标宋简体" w:eastAsia="方正小标宋简体" w:cs="方正小标宋简体"/>
          <w:sz w:val="36"/>
          <w:szCs w:val="32"/>
          <w:lang w:eastAsia="zh-CN"/>
        </w:rPr>
      </w:pPr>
      <w:r>
        <w:rPr>
          <w:rFonts w:hint="eastAsia" w:ascii="方正小标宋简体" w:hAnsi="方正小标宋简体" w:eastAsia="方正小标宋简体" w:cs="方正小标宋简体"/>
          <w:sz w:val="36"/>
          <w:szCs w:val="32"/>
        </w:rPr>
        <w:t>权责清单及廉政风险防控表</w:t>
      </w:r>
      <w:r>
        <w:rPr>
          <w:rFonts w:hint="eastAsia" w:ascii="方正小标宋简体" w:hAnsi="方正小标宋简体" w:eastAsia="方正小标宋简体" w:cs="方正小标宋简体"/>
          <w:sz w:val="36"/>
          <w:szCs w:val="32"/>
          <w:lang w:eastAsia="zh-CN"/>
        </w:rPr>
        <w:t>（行政审批服务中心）</w:t>
      </w:r>
    </w:p>
    <w:tbl>
      <w:tblPr>
        <w:tblStyle w:val="5"/>
        <w:tblW w:w="161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67"/>
        <w:gridCol w:w="1701"/>
        <w:gridCol w:w="3544"/>
        <w:gridCol w:w="1276"/>
        <w:gridCol w:w="3543"/>
        <w:gridCol w:w="396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26" w:type="dxa"/>
            <w:tcBorders>
              <w:bottom w:val="single" w:color="auto" w:sz="4" w:space="0"/>
            </w:tcBorders>
            <w:vAlign w:val="center"/>
          </w:tcPr>
          <w:p>
            <w:pPr>
              <w:widowControl/>
              <w:spacing w:line="240" w:lineRule="exact"/>
              <w:jc w:val="center"/>
              <w:textAlignment w:val="center"/>
              <w:rPr>
                <w:rFonts w:ascii="黑体" w:hAnsi="黑体" w:eastAsia="黑体" w:cs="黑体"/>
                <w:bCs/>
                <w:kern w:val="0"/>
                <w:szCs w:val="21"/>
              </w:rPr>
            </w:pPr>
            <w:r>
              <w:rPr>
                <w:rFonts w:hint="eastAsia" w:ascii="黑体" w:hAnsi="黑体" w:eastAsia="黑体" w:cs="黑体"/>
                <w:bCs/>
                <w:kern w:val="0"/>
                <w:szCs w:val="21"/>
              </w:rPr>
              <w:t>序号</w:t>
            </w:r>
          </w:p>
        </w:tc>
        <w:tc>
          <w:tcPr>
            <w:tcW w:w="567" w:type="dxa"/>
            <w:tcBorders>
              <w:bottom w:val="single" w:color="auto" w:sz="4" w:space="0"/>
            </w:tcBorders>
            <w:vAlign w:val="center"/>
          </w:tcPr>
          <w:p>
            <w:pPr>
              <w:widowControl/>
              <w:spacing w:line="240" w:lineRule="exact"/>
              <w:jc w:val="center"/>
              <w:textAlignment w:val="center"/>
              <w:rPr>
                <w:rFonts w:ascii="黑体" w:hAnsi="黑体" w:eastAsia="黑体" w:cs="黑体"/>
                <w:bCs/>
                <w:szCs w:val="21"/>
              </w:rPr>
            </w:pPr>
            <w:r>
              <w:rPr>
                <w:rFonts w:hint="eastAsia" w:ascii="黑体" w:hAnsi="黑体" w:eastAsia="黑体" w:cs="黑体"/>
                <w:bCs/>
                <w:kern w:val="0"/>
                <w:szCs w:val="21"/>
              </w:rPr>
              <w:t>单位</w:t>
            </w:r>
          </w:p>
        </w:tc>
        <w:tc>
          <w:tcPr>
            <w:tcW w:w="1701" w:type="dxa"/>
            <w:tcBorders>
              <w:bottom w:val="single" w:color="auto" w:sz="4" w:space="0"/>
            </w:tcBorders>
            <w:vAlign w:val="center"/>
          </w:tcPr>
          <w:p>
            <w:pPr>
              <w:widowControl/>
              <w:spacing w:line="240" w:lineRule="exact"/>
              <w:jc w:val="center"/>
              <w:textAlignment w:val="center"/>
              <w:rPr>
                <w:rFonts w:ascii="黑体" w:hAnsi="黑体" w:eastAsia="黑体" w:cs="黑体"/>
                <w:bCs/>
                <w:szCs w:val="21"/>
              </w:rPr>
            </w:pPr>
            <w:r>
              <w:rPr>
                <w:rFonts w:hint="eastAsia" w:ascii="黑体" w:hAnsi="黑体" w:eastAsia="黑体" w:cs="黑体"/>
                <w:bCs/>
                <w:szCs w:val="21"/>
              </w:rPr>
              <w:t>权力责任</w:t>
            </w:r>
          </w:p>
        </w:tc>
        <w:tc>
          <w:tcPr>
            <w:tcW w:w="3544" w:type="dxa"/>
            <w:tcBorders>
              <w:bottom w:val="single" w:color="auto" w:sz="4" w:space="0"/>
            </w:tcBorders>
            <w:vAlign w:val="center"/>
          </w:tcPr>
          <w:p>
            <w:pPr>
              <w:widowControl/>
              <w:spacing w:line="240" w:lineRule="exact"/>
              <w:jc w:val="center"/>
              <w:textAlignment w:val="center"/>
              <w:rPr>
                <w:rFonts w:ascii="黑体" w:hAnsi="黑体" w:eastAsia="黑体" w:cs="黑体"/>
                <w:bCs/>
                <w:kern w:val="0"/>
                <w:szCs w:val="21"/>
              </w:rPr>
            </w:pPr>
            <w:r>
              <w:rPr>
                <w:rFonts w:hint="eastAsia" w:ascii="黑体" w:hAnsi="黑体" w:eastAsia="黑体" w:cs="黑体"/>
                <w:bCs/>
                <w:kern w:val="0"/>
                <w:szCs w:val="21"/>
              </w:rPr>
              <w:t>权责行使流程</w:t>
            </w:r>
          </w:p>
        </w:tc>
        <w:tc>
          <w:tcPr>
            <w:tcW w:w="1276" w:type="dxa"/>
            <w:tcBorders>
              <w:bottom w:val="single" w:color="auto" w:sz="4" w:space="0"/>
            </w:tcBorders>
            <w:vAlign w:val="center"/>
          </w:tcPr>
          <w:p>
            <w:pPr>
              <w:widowControl/>
              <w:spacing w:line="240" w:lineRule="exact"/>
              <w:jc w:val="center"/>
              <w:textAlignment w:val="center"/>
              <w:rPr>
                <w:rFonts w:ascii="黑体" w:hAnsi="黑体" w:eastAsia="黑体" w:cs="黑体"/>
                <w:bCs/>
                <w:kern w:val="0"/>
                <w:szCs w:val="21"/>
              </w:rPr>
            </w:pPr>
            <w:r>
              <w:rPr>
                <w:rFonts w:hint="eastAsia" w:ascii="黑体" w:hAnsi="黑体" w:eastAsia="黑体" w:cs="黑体"/>
                <w:bCs/>
                <w:kern w:val="0"/>
                <w:szCs w:val="21"/>
              </w:rPr>
              <w:t>重点</w:t>
            </w:r>
          </w:p>
          <w:p>
            <w:pPr>
              <w:widowControl/>
              <w:spacing w:line="240" w:lineRule="exact"/>
              <w:jc w:val="center"/>
              <w:textAlignment w:val="center"/>
              <w:rPr>
                <w:rFonts w:ascii="黑体" w:hAnsi="黑体" w:eastAsia="黑体" w:cs="黑体"/>
                <w:bCs/>
                <w:kern w:val="0"/>
                <w:szCs w:val="21"/>
              </w:rPr>
            </w:pPr>
            <w:r>
              <w:rPr>
                <w:rFonts w:hint="eastAsia" w:ascii="黑体" w:hAnsi="黑体" w:eastAsia="黑体" w:cs="黑体"/>
                <w:bCs/>
                <w:kern w:val="0"/>
                <w:szCs w:val="21"/>
              </w:rPr>
              <w:t>岗位</w:t>
            </w:r>
          </w:p>
        </w:tc>
        <w:tc>
          <w:tcPr>
            <w:tcW w:w="3543" w:type="dxa"/>
            <w:tcBorders>
              <w:bottom w:val="single" w:color="auto" w:sz="4" w:space="0"/>
            </w:tcBorders>
            <w:vAlign w:val="center"/>
          </w:tcPr>
          <w:p>
            <w:pPr>
              <w:widowControl/>
              <w:spacing w:line="240" w:lineRule="exact"/>
              <w:jc w:val="center"/>
              <w:textAlignment w:val="center"/>
              <w:rPr>
                <w:rFonts w:ascii="黑体" w:hAnsi="黑体" w:eastAsia="黑体" w:cs="黑体"/>
                <w:bCs/>
                <w:kern w:val="0"/>
                <w:szCs w:val="21"/>
              </w:rPr>
            </w:pPr>
            <w:r>
              <w:rPr>
                <w:rFonts w:hint="eastAsia" w:ascii="黑体" w:hAnsi="黑体" w:eastAsia="黑体" w:cs="黑体"/>
                <w:bCs/>
                <w:kern w:val="0"/>
                <w:szCs w:val="21"/>
              </w:rPr>
              <w:t>廉政风险点</w:t>
            </w:r>
          </w:p>
        </w:tc>
        <w:tc>
          <w:tcPr>
            <w:tcW w:w="3969" w:type="dxa"/>
            <w:tcBorders>
              <w:bottom w:val="single" w:color="auto" w:sz="4" w:space="0"/>
            </w:tcBorders>
            <w:vAlign w:val="center"/>
          </w:tcPr>
          <w:p>
            <w:pPr>
              <w:widowControl/>
              <w:spacing w:line="240" w:lineRule="exact"/>
              <w:jc w:val="center"/>
              <w:textAlignment w:val="center"/>
              <w:rPr>
                <w:rFonts w:ascii="黑体" w:hAnsi="黑体" w:eastAsia="黑体" w:cs="黑体"/>
                <w:bCs/>
                <w:szCs w:val="21"/>
              </w:rPr>
            </w:pPr>
            <w:r>
              <w:rPr>
                <w:rFonts w:hint="eastAsia" w:ascii="黑体" w:hAnsi="黑体" w:eastAsia="黑体" w:cs="黑体"/>
                <w:bCs/>
                <w:kern w:val="0"/>
                <w:szCs w:val="21"/>
              </w:rPr>
              <w:t>廉政风险防控措施</w:t>
            </w:r>
          </w:p>
        </w:tc>
        <w:tc>
          <w:tcPr>
            <w:tcW w:w="1134" w:type="dxa"/>
            <w:tcBorders>
              <w:bottom w:val="single" w:color="auto" w:sz="4" w:space="0"/>
            </w:tcBorders>
            <w:vAlign w:val="center"/>
          </w:tcPr>
          <w:p>
            <w:pPr>
              <w:widowControl/>
              <w:spacing w:line="240" w:lineRule="exact"/>
              <w:jc w:val="center"/>
              <w:textAlignment w:val="center"/>
              <w:rPr>
                <w:rFonts w:ascii="黑体" w:hAnsi="黑体" w:eastAsia="黑体" w:cs="黑体"/>
                <w:bCs/>
                <w:szCs w:val="21"/>
              </w:rPr>
            </w:pPr>
            <w:r>
              <w:rPr>
                <w:rFonts w:hint="eastAsia" w:ascii="黑体" w:hAnsi="黑体" w:eastAsia="黑体" w:cs="黑体"/>
                <w:bCs/>
                <w:kern w:val="0"/>
                <w:szCs w:val="21"/>
              </w:rPr>
              <w:t>风险防控责任人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567" w:type="dxa"/>
            <w:vMerge w:val="restart"/>
            <w:vAlign w:val="center"/>
          </w:tcPr>
          <w:p>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北京市商务局行政审批服务中心</w:t>
            </w:r>
          </w:p>
        </w:tc>
        <w:tc>
          <w:tcPr>
            <w:tcW w:w="1701" w:type="dxa"/>
            <w:vAlign w:val="center"/>
          </w:tcPr>
          <w:p>
            <w:pPr>
              <w:spacing w:line="240" w:lineRule="exact"/>
              <w:rPr>
                <w:rFonts w:hint="eastAsia" w:asciiTheme="minorEastAsia" w:hAnsiTheme="minorEastAsia" w:eastAsiaTheme="minorEastAsia" w:cstheme="minorEastAsia"/>
                <w:szCs w:val="21"/>
              </w:rPr>
            </w:pPr>
            <w:bookmarkStart w:id="34" w:name="_GoBack"/>
            <w:bookmarkEnd w:id="34"/>
            <w:r>
              <w:rPr>
                <w:rFonts w:hint="eastAsia" w:asciiTheme="minorEastAsia" w:hAnsiTheme="minorEastAsia" w:eastAsiaTheme="minorEastAsia" w:cstheme="minorEastAsia"/>
                <w:szCs w:val="21"/>
              </w:rPr>
              <w:t>进出口国营贸易经营资格认定</w:t>
            </w:r>
          </w:p>
        </w:tc>
        <w:tc>
          <w:tcPr>
            <w:tcW w:w="3544"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w:t>
            </w:r>
            <w:bookmarkStart w:id="0" w:name="OLE_LINK1"/>
            <w:bookmarkStart w:id="1" w:name="OLE_LINK28"/>
            <w:bookmarkStart w:id="2" w:name="OLE_LINK29"/>
            <w:r>
              <w:rPr>
                <w:rFonts w:hint="eastAsia" w:asciiTheme="minorEastAsia" w:hAnsiTheme="minorEastAsia" w:eastAsiaTheme="minorEastAsia" w:cstheme="minorEastAsia"/>
                <w:szCs w:val="21"/>
              </w:rPr>
              <w:t>综窗受理</w:t>
            </w:r>
            <w:bookmarkEnd w:id="0"/>
            <w:bookmarkEnd w:id="1"/>
            <w:bookmarkEnd w:id="2"/>
            <w:r>
              <w:rPr>
                <w:rFonts w:hint="eastAsia" w:asciiTheme="minorEastAsia" w:hAnsiTheme="minorEastAsia" w:eastAsiaTheme="minorEastAsia" w:cstheme="minorEastAsia"/>
                <w:szCs w:val="21"/>
              </w:rPr>
              <w:t>—经办人将材料转外贸运行处。</w:t>
            </w:r>
          </w:p>
        </w:tc>
        <w:tc>
          <w:tcPr>
            <w:tcW w:w="1276" w:type="dxa"/>
            <w:vAlign w:val="center"/>
          </w:tcPr>
          <w:p>
            <w:pPr>
              <w:spacing w:line="240" w:lineRule="exact"/>
              <w:rPr>
                <w:rFonts w:hint="eastAsia" w:asciiTheme="minorEastAsia" w:hAnsiTheme="minorEastAsia" w:eastAsiaTheme="minorEastAsia" w:cstheme="minorEastAsia"/>
                <w:szCs w:val="21"/>
              </w:rPr>
            </w:pPr>
            <w:bookmarkStart w:id="3" w:name="OLE_LINK7"/>
            <w:bookmarkStart w:id="4" w:name="OLE_LINK92"/>
            <w:bookmarkStart w:id="5" w:name="OLE_LINK91"/>
            <w:r>
              <w:rPr>
                <w:rFonts w:hint="eastAsia" w:asciiTheme="minorEastAsia" w:hAnsiTheme="minorEastAsia" w:eastAsiaTheme="minorEastAsia" w:cstheme="minorEastAsia"/>
                <w:szCs w:val="21"/>
              </w:rPr>
              <w:t>经办人</w:t>
            </w:r>
            <w:bookmarkEnd w:id="3"/>
            <w:r>
              <w:rPr>
                <w:rFonts w:hint="eastAsia" w:asciiTheme="minorEastAsia" w:hAnsiTheme="minorEastAsia" w:eastAsiaTheme="minorEastAsia" w:cstheme="minorEastAsia"/>
                <w:szCs w:val="21"/>
              </w:rPr>
              <w:t>：侯佳</w:t>
            </w:r>
            <w:bookmarkEnd w:id="4"/>
            <w:bookmarkEnd w:id="5"/>
          </w:p>
        </w:tc>
        <w:tc>
          <w:tcPr>
            <w:tcW w:w="3543" w:type="dxa"/>
            <w:vAlign w:val="center"/>
          </w:tcPr>
          <w:p>
            <w:pPr>
              <w:spacing w:line="240" w:lineRule="exact"/>
              <w:rPr>
                <w:rFonts w:hint="eastAsia" w:asciiTheme="minorEastAsia" w:hAnsiTheme="minorEastAsia" w:eastAsiaTheme="minorEastAsia" w:cstheme="minorEastAsia"/>
                <w:szCs w:val="21"/>
              </w:rPr>
            </w:pPr>
            <w:bookmarkStart w:id="6" w:name="OLE_LINK133"/>
            <w:bookmarkStart w:id="7" w:name="OLE_LINK134"/>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bookmarkEnd w:id="6"/>
            <w:bookmarkEnd w:id="7"/>
          </w:p>
        </w:tc>
        <w:tc>
          <w:tcPr>
            <w:tcW w:w="3969" w:type="dxa"/>
            <w:vAlign w:val="center"/>
          </w:tcPr>
          <w:p>
            <w:pPr>
              <w:spacing w:line="240" w:lineRule="exact"/>
              <w:rPr>
                <w:rFonts w:hint="eastAsia" w:asciiTheme="minorEastAsia" w:hAnsiTheme="minorEastAsia" w:eastAsiaTheme="minorEastAsia" w:cstheme="minorEastAsia"/>
                <w:szCs w:val="21"/>
              </w:rPr>
            </w:pPr>
            <w:bookmarkStart w:id="8" w:name="OLE_LINK136"/>
            <w:bookmarkStart w:id="9" w:name="OLE_LINK135"/>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bookmarkEnd w:id="8"/>
            <w:bookmarkEnd w:id="9"/>
          </w:p>
        </w:tc>
        <w:tc>
          <w:tcPr>
            <w:tcW w:w="1134" w:type="dxa"/>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vAlign w:val="center"/>
          </w:tcPr>
          <w:p>
            <w:pPr>
              <w:spacing w:line="240" w:lineRule="exact"/>
              <w:rPr>
                <w:rFonts w:hint="eastAsia"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进口关税配额审批</w:t>
            </w:r>
          </w:p>
        </w:tc>
        <w:tc>
          <w:tcPr>
            <w:tcW w:w="3544"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1.配额申请：申请人线上申请—申请人现场或邮寄提交材料—综窗受理—经办人将材料转外贸运行处</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2.农产品进口关税配额审批初审羊毛毛条配额证</w:t>
            </w:r>
            <w:bookmarkStart w:id="10" w:name="OLE_LINK16"/>
            <w:r>
              <w:rPr>
                <w:rFonts w:hint="eastAsia" w:asciiTheme="minorEastAsia" w:hAnsiTheme="minorEastAsia" w:eastAsiaTheme="minorEastAsia" w:cstheme="minorEastAsia"/>
                <w:szCs w:val="21"/>
              </w:rPr>
              <w:t>：</w:t>
            </w:r>
            <w:bookmarkEnd w:id="10"/>
            <w:bookmarkStart w:id="11" w:name="OLE_LINK6"/>
            <w:bookmarkStart w:id="12" w:name="OLE_LINK45"/>
            <w:bookmarkStart w:id="13" w:name="OLE_LINK44"/>
            <w:bookmarkStart w:id="14" w:name="OLE_LINK9"/>
            <w:bookmarkStart w:id="15" w:name="OLE_LINK8"/>
            <w:r>
              <w:rPr>
                <w:rFonts w:hint="eastAsia" w:asciiTheme="minorEastAsia" w:hAnsiTheme="minorEastAsia" w:eastAsiaTheme="minorEastAsia" w:cstheme="minorEastAsia"/>
                <w:szCs w:val="21"/>
              </w:rPr>
              <w:t>申请人线上申请</w:t>
            </w:r>
            <w:bookmarkEnd w:id="11"/>
            <w:bookmarkEnd w:id="12"/>
            <w:bookmarkEnd w:id="13"/>
            <w:bookmarkStart w:id="16" w:name="OLE_LINK4"/>
            <w:bookmarkStart w:id="17" w:name="OLE_LINK5"/>
            <w:r>
              <w:rPr>
                <w:rFonts w:hint="eastAsia" w:asciiTheme="minorEastAsia" w:hAnsiTheme="minorEastAsia" w:eastAsiaTheme="minorEastAsia" w:cstheme="minorEastAsia"/>
                <w:szCs w:val="21"/>
              </w:rPr>
              <w:t>—</w:t>
            </w:r>
            <w:bookmarkEnd w:id="14"/>
            <w:bookmarkEnd w:id="15"/>
            <w:bookmarkStart w:id="18" w:name="OLE_LINK12"/>
            <w:bookmarkStart w:id="19" w:name="OLE_LINK13"/>
            <w:r>
              <w:rPr>
                <w:rFonts w:hint="eastAsia" w:asciiTheme="minorEastAsia" w:hAnsiTheme="minorEastAsia" w:eastAsiaTheme="minorEastAsia" w:cstheme="minorEastAsia"/>
                <w:szCs w:val="21"/>
              </w:rPr>
              <w:t>综窗受理—</w:t>
            </w:r>
            <w:bookmarkEnd w:id="16"/>
            <w:bookmarkEnd w:id="17"/>
            <w:bookmarkEnd w:id="18"/>
            <w:bookmarkEnd w:id="19"/>
            <w:r>
              <w:rPr>
                <w:rFonts w:hint="eastAsia" w:asciiTheme="minorEastAsia" w:hAnsiTheme="minorEastAsia" w:eastAsiaTheme="minorEastAsia" w:cstheme="minorEastAsia"/>
                <w:szCs w:val="21"/>
              </w:rPr>
              <w:t>外贸运行处初审</w:t>
            </w:r>
            <w:bookmarkStart w:id="20" w:name="OLE_LINK2"/>
            <w:bookmarkStart w:id="21" w:name="OLE_LINK3"/>
            <w:r>
              <w:rPr>
                <w:rFonts w:hint="eastAsia" w:asciiTheme="minorEastAsia" w:hAnsiTheme="minorEastAsia" w:eastAsiaTheme="minorEastAsia" w:cstheme="minorEastAsia"/>
                <w:szCs w:val="21"/>
              </w:rPr>
              <w:t>—</w:t>
            </w:r>
            <w:bookmarkEnd w:id="20"/>
            <w:bookmarkEnd w:id="21"/>
            <w:r>
              <w:rPr>
                <w:rFonts w:hint="eastAsia" w:asciiTheme="minorEastAsia" w:hAnsiTheme="minorEastAsia" w:eastAsiaTheme="minorEastAsia" w:cstheme="minorEastAsia"/>
                <w:szCs w:val="21"/>
              </w:rPr>
              <w:t>商务部审批</w:t>
            </w:r>
            <w:bookmarkStart w:id="22" w:name="OLE_LINK43"/>
            <w:bookmarkStart w:id="23" w:name="OLE_LINK47"/>
            <w:bookmarkStart w:id="24" w:name="OLE_LINK46"/>
            <w:r>
              <w:rPr>
                <w:rFonts w:hint="eastAsia" w:asciiTheme="minorEastAsia" w:hAnsiTheme="minorEastAsia" w:eastAsiaTheme="minorEastAsia" w:cstheme="minorEastAsia"/>
                <w:szCs w:val="21"/>
              </w:rPr>
              <w:t>—</w:t>
            </w:r>
            <w:bookmarkEnd w:id="22"/>
            <w:r>
              <w:rPr>
                <w:rFonts w:hint="eastAsia" w:asciiTheme="minorEastAsia" w:hAnsiTheme="minorEastAsia" w:eastAsiaTheme="minorEastAsia" w:cstheme="minorEastAsia"/>
                <w:szCs w:val="21"/>
              </w:rPr>
              <w:t>经办人线上生成配额证</w:t>
            </w:r>
            <w:bookmarkEnd w:id="23"/>
            <w:bookmarkEnd w:id="24"/>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食糖</w:t>
            </w:r>
            <w:bookmarkStart w:id="25" w:name="OLE_LINK121"/>
            <w:bookmarkStart w:id="26" w:name="OLE_LINK122"/>
            <w:r>
              <w:rPr>
                <w:rFonts w:hint="eastAsia" w:asciiTheme="minorEastAsia" w:hAnsiTheme="minorEastAsia" w:eastAsiaTheme="minorEastAsia" w:cstheme="minorEastAsia"/>
                <w:szCs w:val="21"/>
              </w:rPr>
              <w:t>配额</w:t>
            </w:r>
            <w:bookmarkEnd w:id="25"/>
            <w:bookmarkEnd w:id="26"/>
            <w:r>
              <w:rPr>
                <w:rFonts w:hint="eastAsia" w:asciiTheme="minorEastAsia" w:hAnsiTheme="minorEastAsia" w:eastAsiaTheme="minorEastAsia" w:cstheme="minorEastAsia"/>
                <w:szCs w:val="21"/>
              </w:rPr>
              <w:t>证：申请人线上申请</w:t>
            </w:r>
            <w:bookmarkStart w:id="27" w:name="OLE_LINK127"/>
            <w:bookmarkStart w:id="28" w:name="OLE_LINK128"/>
            <w:r>
              <w:rPr>
                <w:rFonts w:hint="eastAsia" w:asciiTheme="minorEastAsia" w:hAnsiTheme="minorEastAsia" w:eastAsiaTheme="minorEastAsia" w:cstheme="minorEastAsia"/>
                <w:szCs w:val="21"/>
              </w:rPr>
              <w:t>—综窗受理—</w:t>
            </w:r>
            <w:bookmarkEnd w:id="27"/>
            <w:bookmarkEnd w:id="28"/>
            <w:r>
              <w:rPr>
                <w:rFonts w:hint="eastAsia" w:asciiTheme="minorEastAsia" w:hAnsiTheme="minorEastAsia" w:eastAsiaTheme="minorEastAsia" w:cstheme="minorEastAsia"/>
                <w:szCs w:val="21"/>
              </w:rPr>
              <w:t>经办人审核—经办人线上生成配额证。</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3.化肥进口关税配额审批初审：化肥配额证:申请人线上申请—综窗受理—经办人初审—外贸运行处审批—经办人线上生成配额证。</w:t>
            </w:r>
          </w:p>
        </w:tc>
        <w:tc>
          <w:tcPr>
            <w:tcW w:w="1276"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经办人：侯佳</w:t>
            </w:r>
          </w:p>
        </w:tc>
        <w:tc>
          <w:tcPr>
            <w:tcW w:w="3543"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vAlign w:val="center"/>
          </w:tcPr>
          <w:p>
            <w:pPr>
              <w:spacing w:line="240" w:lineRule="exact"/>
              <w:rPr>
                <w:rFonts w:hint="eastAsia" w:asciiTheme="minorEastAsia" w:hAnsiTheme="minorEastAsia" w:eastAsiaTheme="minorEastAsia" w:cstheme="minorEastAsia"/>
                <w:szCs w:val="21"/>
              </w:rPr>
            </w:pPr>
            <w:bookmarkStart w:id="29" w:name="OLE_LINK140"/>
            <w:bookmarkStart w:id="30" w:name="OLE_LINK139"/>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bookmarkEnd w:id="29"/>
            <w:bookmarkEnd w:id="30"/>
          </w:p>
        </w:tc>
        <w:tc>
          <w:tcPr>
            <w:tcW w:w="1134" w:type="dxa"/>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vAlign w:val="center"/>
          </w:tcPr>
          <w:p>
            <w:pPr>
              <w:spacing w:line="240" w:lineRule="exact"/>
              <w:rPr>
                <w:rFonts w:hint="eastAsia"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对自由进出口技术合同进行登记</w:t>
            </w:r>
          </w:p>
        </w:tc>
        <w:tc>
          <w:tcPr>
            <w:tcW w:w="3544"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线上提交材料：申请人线上申请并线上提交材料—经办人初审—科长复审—副主任审核—主任签批—经办人制证—申请人现场或邮寄提交材料—综窗受理—申请人领取办理结果；</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线下提交材料：申请人线上申请—申请人现场或邮寄提交材料—综窗受理—经办人初审—科长复审—副主任审核—主任签批—经办人制证——申请人现场或邮寄领取办理结果。</w:t>
            </w:r>
          </w:p>
        </w:tc>
        <w:tc>
          <w:tcPr>
            <w:tcW w:w="1276"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主任：杨洋；副主任：胡征伟；科长：梁雪姣、经办人：范丽红、王鹏颖、王喆</w:t>
            </w:r>
          </w:p>
        </w:tc>
        <w:tc>
          <w:tcPr>
            <w:tcW w:w="3543"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vAlign w:val="center"/>
          </w:tcPr>
          <w:p>
            <w:pPr>
              <w:spacing w:line="240" w:lineRule="exact"/>
              <w:rPr>
                <w:rFonts w:hint="eastAsia" w:asciiTheme="minorEastAsia" w:hAnsiTheme="minorEastAsia" w:eastAsiaTheme="minorEastAsia" w:cstheme="minorEastAsia"/>
                <w:szCs w:val="21"/>
              </w:rPr>
            </w:pPr>
            <w:bookmarkStart w:id="31" w:name="OLE_LINK144"/>
            <w:bookmarkStart w:id="32" w:name="OLE_LINK143"/>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bookmarkEnd w:id="31"/>
            <w:bookmarkEnd w:id="32"/>
          </w:p>
        </w:tc>
        <w:tc>
          <w:tcPr>
            <w:tcW w:w="1134" w:type="dxa"/>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vAlign w:val="center"/>
          </w:tcPr>
          <w:p>
            <w:pPr>
              <w:spacing w:line="240" w:lineRule="exact"/>
              <w:rPr>
                <w:rFonts w:hint="eastAsia"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货物自动进口许可</w:t>
            </w:r>
          </w:p>
        </w:tc>
        <w:tc>
          <w:tcPr>
            <w:tcW w:w="3544" w:type="dxa"/>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1.非机电产品进口自动许可管理：受商务部委托的省级地方商务主管部门实施自动进口许可的货物：申请人线上申请—综窗受理—经办人初审—外贸运行处审批—经办人线上生成许可证。</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2.机电产品进口自动许可管理：申请人线上申请—综窗受理—经办人初审—外贸运行处审批—经办人线上生成许可证。</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3.对进出口许可证电子认证证书和电子钥匙申领：申请人线上提交材料—经办人初审—国富安制作电子钥匙并快递至六里桥—经办人通知申请人领取—综窗受理—申请人现场领取或邮寄至申请人。</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经办人：梁雪姣、万岩、王荔晨、王展、赵艳花、董莹、朱磊</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商务部委托省级、副省级城市商务部门实施的限制出口货物许可</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申请人线上申请—综窗受理—经办人初审—外贸运行处审批。</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经办人：侯佳</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商务部委托省级、副省级城市商务部门实施的限制出口货物的配额审批</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申请人现场或邮寄提交材料—综窗受理—经办人将材料转外贸运行处。</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经办人：侯佳</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限制进口技术进口许可</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申请人现场或邮寄提交材料—综窗受理—经办人将材料转服务贸易处。</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经办人：梁雪姣</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限制出口技术出口许可</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申请人现场或邮寄提交材料—综窗受理—经办人将材料转服务贸易处。</w:t>
            </w:r>
          </w:p>
          <w:p>
            <w:pPr>
              <w:spacing w:line="240" w:lineRule="exact"/>
              <w:rPr>
                <w:rFonts w:hint="eastAsia" w:asciiTheme="minorEastAsia" w:hAnsiTheme="minorEastAsia" w:eastAsiaTheme="minorEastAsia" w:cstheme="minorEastAsia"/>
                <w:szCs w:val="21"/>
              </w:rPr>
            </w:pP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经办人：梁雪姣</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dxa"/>
            <w:vAlign w:val="center"/>
          </w:tcPr>
          <w:p>
            <w:pPr>
              <w:spacing w:line="30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部分易制毒化学品和石墨类相关制品进出口许可</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申请人网上提交材料-经办人初审-科长复审</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科长：王展；经办人：赵艳花、董莹、朱磊</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牵头组织对外资研发中心采购设备免、退税资格进行审核认定</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申请人现场提交材料-综窗受理--经办人初审-四部门联席会审核（北京海关、北京市商务局、北京市财政局、北京市税务局）-经办人OA提交公告签发申请-副主任审核-中心主任签批后报分管局领导签批。</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主任：杨洋；副主任：胡征伟；科长：王展；经办人：朱磊</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社会团体（商务领域）筹备申请、成立登记、变更登记、注销登记前的审查、年度检查的初审</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社会团体（商务领域）年度检查的初审：申请人线上提交材料-科长初审</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科长：王展</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民办非企业单位（商务领域）成立、变更、注销登记前的审查、年度检查的初审</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民办非企业单位（商务领域）年度检查的初审：申请人线上提交材料-科长初审</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科长：王展</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单用途商业预付卡发卡企业备案</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申请人现场提交材料-综窗受理-经办人初审后材料转交服务质量促进处审核</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经办人：朱磊、王展</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default" w:asciiTheme="minorEastAsia" w:hAnsiTheme="minorEastAsia" w:eastAsiaTheme="minorEastAsia" w:cstheme="minorEastAsia"/>
                <w:szCs w:val="21"/>
                <w:highlight w:val="yellow"/>
                <w:lang w:val="en-US" w:eastAsia="zh-CN"/>
              </w:rPr>
            </w:pPr>
            <w:r>
              <w:rPr>
                <w:rFonts w:hint="eastAsia" w:asciiTheme="minorEastAsia" w:hAnsiTheme="minorEastAsia" w:eastAsiaTheme="minorEastAsia" w:cstheme="minorEastAsia"/>
                <w:szCs w:val="21"/>
                <w:highlight w:val="yellow"/>
                <w:lang w:val="en-US" w:eastAsia="zh-CN"/>
              </w:rPr>
              <w:t>14</w:t>
            </w:r>
          </w:p>
        </w:tc>
        <w:tc>
          <w:tcPr>
            <w:tcW w:w="567" w:type="dxa"/>
            <w:vMerge w:val="continue"/>
            <w:vAlign w:val="center"/>
          </w:tcPr>
          <w:p>
            <w:pPr>
              <w:spacing w:line="240" w:lineRule="exact"/>
              <w:rPr>
                <w:rFonts w:hint="eastAsia" w:asciiTheme="minorEastAsia" w:hAnsiTheme="minorEastAsia" w:eastAsiaTheme="minorEastAsia" w:cstheme="minorEastAsia"/>
                <w:szCs w:val="21"/>
                <w:highlight w:val="yellow"/>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外资研发总部认定</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申请人线上提交材料-经办人初审-科长复审-副主任审核-主任签批；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申请人线下提交材料-综窗帮办线上录入信息-经办人初审-科长复审-副主任审核-主任签批</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主任：杨洋；副主任：胡征伟；科长：王展；经办人：董莹；</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15</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跨国公司地区总部认定</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申请人线上提交材料-经办人初审-科长复审-副主任审核-主任签批；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申请人线下提交材料-综窗帮办线上录入信息-经办人初审-科长复审-副主任审核-主任签批</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主任：杨洋；副主任：胡征伟；科长：王展；经办人：董莹；</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16</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经第三地转投资的台湾投资者确认</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申请人提交材料-综窗受理-科长初审-主任签批后与外资管理处协商转北京市台办</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主任：杨洋；科长：王展； </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17</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第一类中的药品类易制毒化学品进口许可</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申请人线上提交材料-经办人初审后转外贸运行处审核后转报商务部</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经办人：王展、赵艳花、董莹、朱磊</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vAlign w:val="center"/>
          </w:tcPr>
          <w:p>
            <w:pPr>
              <w:spacing w:line="300" w:lineRule="exact"/>
              <w:rPr>
                <w:rFonts w:hint="default" w:asciiTheme="minorEastAsia" w:hAnsiTheme="minorEastAsia" w:eastAsiaTheme="minorEastAsia" w:cstheme="minorEastAsia"/>
                <w:szCs w:val="21"/>
                <w:lang w:val="en-US" w:eastAsia="zh-CN"/>
              </w:rPr>
            </w:pPr>
            <w:bookmarkStart w:id="33" w:name="_Hlk187755365"/>
            <w:r>
              <w:rPr>
                <w:rFonts w:hint="eastAsia" w:asciiTheme="minorEastAsia" w:hAnsiTheme="minorEastAsia" w:eastAsiaTheme="minorEastAsia" w:cstheme="minorEastAsia"/>
                <w:szCs w:val="21"/>
                <w:lang w:val="en-US" w:eastAsia="zh-CN"/>
              </w:rPr>
              <w:t>18</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委托省级审批的易制毒化学品进出口许可</w:t>
            </w:r>
          </w:p>
        </w:tc>
        <w:tc>
          <w:tcPr>
            <w:tcW w:w="3544"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申请人线上提交材料-经办人初审后转外贸运行处审核。</w:t>
            </w:r>
          </w:p>
        </w:tc>
        <w:tc>
          <w:tcPr>
            <w:tcW w:w="1276"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经办人：王展、赵艳花、董莹、朱磊</w:t>
            </w:r>
          </w:p>
        </w:tc>
        <w:tc>
          <w:tcPr>
            <w:tcW w:w="3543"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19</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两用物项和技术进出口审批</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申请人线上提交材料-经办人初审-申请人现场或邮寄提交材料-综窗受理-经办人转外贸运行处审核后转报商务部</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经办人：王展、赵艳花、董莹、朱磊</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从事拍卖业务许可</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申请人现场或邮寄提交材料—综窗受理—经办人初审—科长复审—副主任审核—主任签批—经办人制证—综窗送达—申请人现场或邮寄领取办理结果</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主任：杨洋；副主任：史俊娥；科长：陈昭；经办人：张建、张晓帆、刘曦楚</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21</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拍卖企业年度核查</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申请人线上申请—综窗线上受理—经办人线上审核企业信息—科长复审—副主任审核核查建议结果—核查建议结果报送流通发展处—流通发展处发布核查结果公告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副主任：史俊娥；科长：陈昭；经办人：张晓帆、刘曦楚</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22</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二手车交易市场经营者和二手车经营主体备案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申请人线上申请—申请人现场或邮寄提交材料—综窗受理—经办人审核—经办人线上备案—综窗办结</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经办人：陈昭、张建、张晓帆、刘曦楚</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23</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台商到祖国大陆参展备案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申请人现场或邮寄提交材料—综窗受理—经办人初审—科长复审—副主任审核—主任签批—经办人办理—综窗送达—申请人现场或邮寄领取办理结果</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主任：杨洋；副主任：史俊娥；科长：陈昭；经办人：张建、张晓帆</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24</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受商务部委托对国际货运代理企业进行备案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申请人线上申请—综窗线上受理—经办人线上审核—经办人办结</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经办人：陈昭、张建、张晓帆、刘曦楚</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25</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《报废汽车回收证明》发放</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申请人现场提交申请—综窗受理—经办人办理—综窗送达—申请人现场领取《报废汽车回收证明》</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经办人：张建、刘曦楚</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26</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商业特许经营备案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申请人线上申请并线上提交材料—经办人初审—科长复审—副主任审核—主任签批—申请人现场或邮寄提交材料—综窗受理—经办人核实材料—经办人在商业特许经营信息管理系统发布公告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主任：杨洋；副主任：史俊娥；科长：张毅；经办人：陈敬安、刘欣</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27</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从事其他对外劳务合作经营资格核准（省级权限）</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申请人现场或邮寄提交材料—综窗受理—经办人初审—科长复审—副主任审核—主任签批—经办人制证—申请人现场或邮寄领取《对外劳务合作经营资格证书》</w:t>
            </w:r>
          </w:p>
          <w:p>
            <w:pPr>
              <w:spacing w:line="240" w:lineRule="exact"/>
              <w:rPr>
                <w:rFonts w:hint="eastAsia"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主任：杨洋；副主任：史俊娥；科长：张毅；经办人：刘欣</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28</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商务部委托省级、副省级城市商务部门实施的限制进口货物许可</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申请人线上申请—综窗受理—经办人初审—外贸运行处复审并转报商务部审批--经办人线上生成许可证。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经办人：万岩、王荔晨</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29</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直销企业服务网点确认函初审</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申请人现场或邮寄提交材料—综窗受理—经办人初审—科长复审—副主任审核—主任签批—经办人转报商务部《直销企业服务网点确认函》</w:t>
            </w:r>
          </w:p>
          <w:p>
            <w:pPr>
              <w:spacing w:line="240" w:lineRule="exact"/>
              <w:rPr>
                <w:rFonts w:hint="eastAsia" w:asciiTheme="minorEastAsia" w:hAnsiTheme="minorEastAsia" w:eastAsiaTheme="minorEastAsia" w:cstheme="minorEastAsia"/>
                <w:szCs w:val="21"/>
              </w:rPr>
            </w:pPr>
          </w:p>
          <w:p>
            <w:pPr>
              <w:spacing w:line="240" w:lineRule="exact"/>
              <w:rPr>
                <w:rFonts w:hint="eastAsia"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主任：杨洋；副主任：史俊娥；科长：张毅；经办人：刘欣</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30</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对直销企业服务网点进行核查</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申请人现场或邮寄提交材料—综窗受理—经办人初审—科长复审—副主任审核—主任签批—经办人转报商务部《关于报送直销企业服务网点核查意见的函》</w:t>
            </w:r>
          </w:p>
          <w:p>
            <w:pPr>
              <w:spacing w:line="240" w:lineRule="exact"/>
              <w:rPr>
                <w:rFonts w:hint="eastAsia" w:asciiTheme="minorEastAsia" w:hAnsiTheme="minorEastAsia" w:eastAsiaTheme="minorEastAsia" w:cstheme="minorEastAsia"/>
                <w:szCs w:val="21"/>
              </w:rPr>
            </w:pPr>
          </w:p>
          <w:p>
            <w:pPr>
              <w:spacing w:line="240" w:lineRule="exact"/>
              <w:rPr>
                <w:rFonts w:hint="eastAsia"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主任：杨洋；副主任：史俊娥；科长：张毅；经办人：刘欣</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31</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直销产品和直销培训员备案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申请人现场或邮寄提交材料—综窗受理—经办人初审—科长复审—副主任审核—主任签批—经办人在商务部直销行业管理信息系统公布直销产品和直销培训员备案情况</w:t>
            </w:r>
          </w:p>
          <w:p>
            <w:pPr>
              <w:spacing w:line="240" w:lineRule="exact"/>
              <w:rPr>
                <w:rFonts w:hint="eastAsia"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主任：杨洋；副主任：史俊娥；科长：张毅；经办人：刘欣</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32</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国内企业在境外开办企业（金融企业除外）备案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申请人线上申请并线上提交材料—经办人初审—科长复审—副主任审核—主任签批—申请人现场或邮寄提交材料—综窗受理—经办人核实材料—经办人制证—申请人现场或邮寄领取《企业境外投资证书》</w:t>
            </w:r>
          </w:p>
          <w:p>
            <w:pPr>
              <w:spacing w:line="240" w:lineRule="exact"/>
              <w:rPr>
                <w:rFonts w:hint="eastAsia"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主任：杨洋；副主任：史俊娥；科长：张毅；经办人：王灵慧、王荔晨</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33</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援外项目实施企业资格认定</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申请人现场或邮寄提交材料—综窗受理—经办人初审—科长复审—副主任审核—主任签批—经办人报商务部《对外援助成套项目总承包企业资格认定的函》或《对外援助物资项目实施企业资格认定的函》</w:t>
            </w:r>
          </w:p>
          <w:p>
            <w:pPr>
              <w:spacing w:line="240" w:lineRule="exact"/>
              <w:rPr>
                <w:rFonts w:hint="eastAsia" w:asciiTheme="minorEastAsia" w:hAnsiTheme="minorEastAsia" w:eastAsiaTheme="minorEastAsia" w:cstheme="minorEastAsia"/>
                <w:szCs w:val="21"/>
              </w:rPr>
            </w:pPr>
          </w:p>
          <w:p>
            <w:pPr>
              <w:spacing w:line="240" w:lineRule="exact"/>
              <w:rPr>
                <w:rFonts w:hint="eastAsia"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主任：杨洋；副主任：史俊娥；科长：张毅；经办人：刘欣</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34</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对外援助项目咨询服务单位资格认定初审</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申请人现场或邮寄提交材料—综窗受理—经办人初审—科长复审—副主任审核—主任签批—经办人报国家国际发展合作署《对外援助项目咨询服务单位资格认定的函》</w:t>
            </w:r>
          </w:p>
          <w:p>
            <w:pPr>
              <w:spacing w:line="240" w:lineRule="exact"/>
              <w:rPr>
                <w:rFonts w:hint="eastAsia" w:asciiTheme="minorEastAsia" w:hAnsiTheme="minorEastAsia" w:eastAsiaTheme="minorEastAsia" w:cstheme="minorEastAsia"/>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主任：杨洋；副主任：史俊娥；科长：张毅；经办人：刘欣</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35</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对汽车生产企业授权出口经营企业的申请进行初审</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申请人线上申请—经办人初审—外贸运行处复审并转报商务部审批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经办人：万岩、王荔晨</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1.当面或接听咨询电话接待时，接待态度、方式存在问题时引发矛盾；</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2.不按流程、审批依据、审核要点办理，行政干预审批；</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3.违反办理时限，超时办理。</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1.加强职业技能、沟通技巧培训、提升服务意识；</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2.行政审批服务事项已全部在“首都之窗”公示，接受社会公众和第三方监督，已纳入“好、差、评”大厅监督考核体系；</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3.加强廉政教育，定期开展廉政风险提示，案例教育等。</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36</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机电产品国际招投标备案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不涉及中心权责，由外贸运行处办理。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37</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外派人员合同及人员名单备案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不涉及中心权责，由对外经济合作处办理。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38</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对协议国家的纺织品出口原产地证核发</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零办件（10年以上零办件）。</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39</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限制进口货物的配额审批</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零办件（目前未实施进口配额措施）。</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40</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货物临时进出口许可</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零办件（目前未实施临时进出口许可措施）。</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41</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对网络零售第三方平台交易规则进行备案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不涉及中心权责，由电子商务处办理。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42</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报废机动车回收企业资质认定 </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不涉及中心权责，由流通发展处办理。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43</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对外承包工程备案</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不涉及中心权责，由对外经济合作处办理。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44</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干部选拔任用</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制定干部选拔任用方案—主任办公会审议—上报局人事处备案—按照方案开展干部选拔任用工作</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副主任：史俊娥、胡征伟；科室负责人：赵柏英；经办人：张冉</w:t>
            </w:r>
          </w:p>
          <w:p>
            <w:pPr>
              <w:spacing w:line="240" w:lineRule="exact"/>
              <w:rPr>
                <w:rFonts w:hint="eastAsia" w:asciiTheme="minorEastAsia" w:hAnsiTheme="minorEastAsia" w:eastAsiaTheme="minorEastAsia" w:cstheme="minorEastAsia"/>
                <w:szCs w:val="21"/>
              </w:rPr>
            </w:pPr>
          </w:p>
          <w:p>
            <w:pPr>
              <w:spacing w:line="240" w:lineRule="exact"/>
              <w:rPr>
                <w:rFonts w:hint="eastAsia" w:asciiTheme="minorEastAsia" w:hAnsiTheme="minorEastAsia" w:eastAsiaTheme="minorEastAsia" w:cstheme="minorEastAsia"/>
                <w:szCs w:val="21"/>
              </w:rPr>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p>
          <w:p>
            <w:pPr>
              <w:spacing w:line="240" w:lineRule="exact"/>
              <w:rPr>
                <w:rFonts w:hint="eastAsia" w:asciiTheme="minorEastAsia" w:hAnsiTheme="minorEastAsia" w:eastAsiaTheme="minorEastAsia" w:cstheme="minorEastAsia"/>
                <w:szCs w:val="21"/>
              </w:rPr>
            </w:pP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1.未按选拔程序开展干部选拔任用工作；</w:t>
            </w:r>
          </w:p>
          <w:p>
            <w:pPr>
              <w:widowControl/>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2.干部选拨过程中</w:t>
            </w:r>
            <w:r>
              <w:rPr>
                <w:rFonts w:hint="eastAsia" w:asciiTheme="minorEastAsia" w:hAnsiTheme="minorEastAsia" w:eastAsiaTheme="minorEastAsia" w:cstheme="minorEastAsia"/>
                <w:kern w:val="0"/>
                <w:szCs w:val="21"/>
              </w:rPr>
              <w:t>出现其他廉政问题。</w:t>
            </w:r>
          </w:p>
          <w:p>
            <w:pPr>
              <w:spacing w:line="240" w:lineRule="exact"/>
              <w:rPr>
                <w:rFonts w:hint="eastAsia" w:asciiTheme="minorEastAsia" w:hAnsiTheme="minorEastAsia" w:eastAsiaTheme="minorEastAsia" w:cstheme="minorEastAsia"/>
                <w:szCs w:val="21"/>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1.严格按照</w:t>
            </w:r>
            <w:r>
              <w:rPr>
                <w:rFonts w:hint="eastAsia" w:asciiTheme="minorEastAsia" w:hAnsiTheme="minorEastAsia" w:eastAsiaTheme="minorEastAsia" w:cstheme="minorEastAsia"/>
                <w:szCs w:val="21"/>
                <w:shd w:val="clear" w:color="auto" w:fill="FFFFFF"/>
              </w:rPr>
              <w:t>《党政领导干部选拔任用工作条例》、市商务局《直属单位处级及以下干部管理办法》等文件规定要求，制定中心干部选拨任用方案</w:t>
            </w:r>
            <w:r>
              <w:rPr>
                <w:rFonts w:hint="eastAsia" w:asciiTheme="minorEastAsia" w:hAnsiTheme="minorEastAsia" w:eastAsiaTheme="minorEastAsia" w:cstheme="minorEastAsia"/>
                <w:szCs w:val="21"/>
              </w:rPr>
              <w:t>。</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2.方案制定并经主任办公会研究通过后，报局人事处备案，收到局人事处备案回复后开展干部选拔任用工作。</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3.严格落实选拔任用方案程序，选拔过程公开、透明，集体决策。</w:t>
            </w:r>
          </w:p>
          <w:p>
            <w:pPr>
              <w:widowControl/>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kern w:val="0"/>
                <w:szCs w:val="21"/>
              </w:rPr>
              <w:t>加强廉政教育，定期开展廉政风险提示，案例教育等。干部</w:t>
            </w:r>
            <w:r>
              <w:rPr>
                <w:rFonts w:hint="eastAsia" w:asciiTheme="minorEastAsia" w:hAnsiTheme="minorEastAsia" w:eastAsiaTheme="minorEastAsia" w:cstheme="minorEastAsia"/>
                <w:szCs w:val="21"/>
              </w:rPr>
              <w:t>选拔环节和步骤均接受中心职工和纪检人员监督。</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45</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经费支出</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经办人填写《现金（银行）借款或报账专用记账凭证》，并附相关报账材料-部门主管初审—财务主管审核—中心主任审批—经办人执行支付手续。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主任：杨洋；财务主管：赵柏英；部门主管: 副主任、科室负责人；经办人:借款或报账人</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未按规定流程进行报账审核；</w:t>
            </w:r>
          </w:p>
          <w:p>
            <w:pPr>
              <w:numPr>
                <w:ilvl w:val="0"/>
                <w:numId w:val="1"/>
              </w:num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大额资金支出未经集体研究。</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经费支出严格按照《北京市商务局行政审批服务中心报销管理办法》《北京市商务局行政审批服务中心经费支出管理办法》执行，经部门主管、财务主管和中心主任审核签字后方可支付。</w:t>
            </w:r>
          </w:p>
          <w:p>
            <w:pPr>
              <w:numPr>
                <w:ilvl w:val="0"/>
                <w:numId w:val="2"/>
              </w:num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大额经费支出须经主任办公会集体研究通过后办理支付手续。</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kern w:val="0"/>
                <w:szCs w:val="21"/>
              </w:rPr>
              <w:t>加强廉政教育，定期开展廉政风险提示，案例教育等。</w:t>
            </w:r>
            <w:r>
              <w:rPr>
                <w:rFonts w:hint="eastAsia" w:asciiTheme="minorEastAsia" w:hAnsiTheme="minorEastAsia" w:eastAsiaTheme="minorEastAsia" w:cstheme="minorEastAsia"/>
                <w:szCs w:val="21"/>
              </w:rPr>
              <w:t>大额经费支出均接受中心纪检人员监督。</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26" w:type="dxa"/>
            <w:tcBorders>
              <w:top w:val="single" w:color="auto" w:sz="4" w:space="0"/>
              <w:left w:val="single" w:color="auto" w:sz="4" w:space="0"/>
              <w:bottom w:val="single" w:color="auto" w:sz="4" w:space="0"/>
            </w:tcBorders>
            <w:vAlign w:val="center"/>
          </w:tcPr>
          <w:p>
            <w:pPr>
              <w:spacing w:line="300" w:lineRule="exac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46</w:t>
            </w:r>
          </w:p>
        </w:tc>
        <w:tc>
          <w:tcPr>
            <w:tcW w:w="567" w:type="dxa"/>
            <w:vMerge w:val="continue"/>
            <w:vAlign w:val="center"/>
          </w:tcPr>
          <w:p>
            <w:pPr>
              <w:spacing w:line="240" w:lineRule="exact"/>
              <w:rPr>
                <w:rFonts w:hint="eastAsia" w:asciiTheme="minorEastAsia" w:hAnsiTheme="minorEastAsia" w:eastAsiaTheme="minorEastAsia" w:cstheme="minorEastAsia"/>
                <w:szCs w:val="21"/>
              </w:rPr>
            </w:pPr>
          </w:p>
        </w:tc>
        <w:tc>
          <w:tcPr>
            <w:tcW w:w="1701" w:type="dxa"/>
            <w:tcBorders>
              <w:top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公车</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科室申请-科长初审-主管副主任审核</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主任：杨洋；副主任：胡征伟；经办人：刘超</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公车私用，超范围使用，公车违章</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1.严格遵守北京市商务局行政审批服务中心公务用车使用管理规定；</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2.严格遵循行政审批服务中心公务用车管理平台操作流程；</w:t>
            </w:r>
          </w:p>
          <w:p>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3.公示公开公车使用情况，加强管理监督，杜绝违章行驶。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杨洋</w:t>
            </w:r>
          </w:p>
        </w:tc>
      </w:tr>
    </w:tbl>
    <w:p>
      <w:pPr>
        <w:rPr>
          <w:rFonts w:ascii="仿宋_GB2312" w:eastAsia="仿宋_GB2312" w:hAnsiTheme="minorEastAsia"/>
          <w:szCs w:val="21"/>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23142"/>
    <w:multiLevelType w:val="multilevel"/>
    <w:tmpl w:val="4DD2314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DC94DA2"/>
    <w:multiLevelType w:val="multilevel"/>
    <w:tmpl w:val="7DC94DA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39966024"/>
    <w:rsid w:val="000241A7"/>
    <w:rsid w:val="0005060D"/>
    <w:rsid w:val="00075D59"/>
    <w:rsid w:val="00077ECD"/>
    <w:rsid w:val="000C4A67"/>
    <w:rsid w:val="000E4686"/>
    <w:rsid w:val="00106480"/>
    <w:rsid w:val="00123EEB"/>
    <w:rsid w:val="00133999"/>
    <w:rsid w:val="00135135"/>
    <w:rsid w:val="00163F8A"/>
    <w:rsid w:val="001D471F"/>
    <w:rsid w:val="001F4805"/>
    <w:rsid w:val="00210A0E"/>
    <w:rsid w:val="0021749F"/>
    <w:rsid w:val="002243DB"/>
    <w:rsid w:val="002570DA"/>
    <w:rsid w:val="00260208"/>
    <w:rsid w:val="0027324A"/>
    <w:rsid w:val="00292B4E"/>
    <w:rsid w:val="002E7AE6"/>
    <w:rsid w:val="00333F43"/>
    <w:rsid w:val="00394789"/>
    <w:rsid w:val="003D4C82"/>
    <w:rsid w:val="003E6249"/>
    <w:rsid w:val="004164A4"/>
    <w:rsid w:val="004329B9"/>
    <w:rsid w:val="004903E4"/>
    <w:rsid w:val="00497523"/>
    <w:rsid w:val="004D717F"/>
    <w:rsid w:val="004E7F3E"/>
    <w:rsid w:val="004F1F6A"/>
    <w:rsid w:val="0050663F"/>
    <w:rsid w:val="0051277B"/>
    <w:rsid w:val="00513969"/>
    <w:rsid w:val="00562156"/>
    <w:rsid w:val="00596F74"/>
    <w:rsid w:val="005C67B4"/>
    <w:rsid w:val="005D1278"/>
    <w:rsid w:val="005F2EF9"/>
    <w:rsid w:val="00601BE5"/>
    <w:rsid w:val="00640620"/>
    <w:rsid w:val="0067344B"/>
    <w:rsid w:val="006C32E3"/>
    <w:rsid w:val="006D336E"/>
    <w:rsid w:val="006E6322"/>
    <w:rsid w:val="006F232A"/>
    <w:rsid w:val="0077125B"/>
    <w:rsid w:val="007869BE"/>
    <w:rsid w:val="00805F94"/>
    <w:rsid w:val="00820E31"/>
    <w:rsid w:val="0086199D"/>
    <w:rsid w:val="00891F16"/>
    <w:rsid w:val="0091600A"/>
    <w:rsid w:val="00930731"/>
    <w:rsid w:val="0097637A"/>
    <w:rsid w:val="009C0010"/>
    <w:rsid w:val="00A147CB"/>
    <w:rsid w:val="00A2756A"/>
    <w:rsid w:val="00A618F2"/>
    <w:rsid w:val="00A6535A"/>
    <w:rsid w:val="00A703BC"/>
    <w:rsid w:val="00AC4721"/>
    <w:rsid w:val="00AF7F65"/>
    <w:rsid w:val="00B044C2"/>
    <w:rsid w:val="00B418EF"/>
    <w:rsid w:val="00B81A73"/>
    <w:rsid w:val="00B9129C"/>
    <w:rsid w:val="00BA5DBA"/>
    <w:rsid w:val="00BA7D52"/>
    <w:rsid w:val="00BC005E"/>
    <w:rsid w:val="00BC09AD"/>
    <w:rsid w:val="00BC5193"/>
    <w:rsid w:val="00BD0FB1"/>
    <w:rsid w:val="00C03E4B"/>
    <w:rsid w:val="00C358F3"/>
    <w:rsid w:val="00C6522D"/>
    <w:rsid w:val="00CA250E"/>
    <w:rsid w:val="00CA3BA1"/>
    <w:rsid w:val="00CE0B27"/>
    <w:rsid w:val="00CF3573"/>
    <w:rsid w:val="00D00FAB"/>
    <w:rsid w:val="00D03C7E"/>
    <w:rsid w:val="00D35953"/>
    <w:rsid w:val="00D40A82"/>
    <w:rsid w:val="00D50015"/>
    <w:rsid w:val="00DD47A9"/>
    <w:rsid w:val="00E011A4"/>
    <w:rsid w:val="00E37A96"/>
    <w:rsid w:val="00EA4E5F"/>
    <w:rsid w:val="00EC461E"/>
    <w:rsid w:val="00F00529"/>
    <w:rsid w:val="00F15686"/>
    <w:rsid w:val="00F43AC7"/>
    <w:rsid w:val="00F62C2E"/>
    <w:rsid w:val="00F804DC"/>
    <w:rsid w:val="00FE1B3A"/>
    <w:rsid w:val="00FE49E5"/>
    <w:rsid w:val="00FF5133"/>
    <w:rsid w:val="08C14368"/>
    <w:rsid w:val="0CEE2E7D"/>
    <w:rsid w:val="19D133E7"/>
    <w:rsid w:val="1C5823F6"/>
    <w:rsid w:val="1CF87497"/>
    <w:rsid w:val="2DF34F7D"/>
    <w:rsid w:val="35833459"/>
    <w:rsid w:val="381677E2"/>
    <w:rsid w:val="39966024"/>
    <w:rsid w:val="3B1D61FA"/>
    <w:rsid w:val="3CF70A12"/>
    <w:rsid w:val="444C42ED"/>
    <w:rsid w:val="44913E48"/>
    <w:rsid w:val="44B21FC2"/>
    <w:rsid w:val="46E37CD8"/>
    <w:rsid w:val="48E07B1E"/>
    <w:rsid w:val="4A2E5242"/>
    <w:rsid w:val="4A826ECA"/>
    <w:rsid w:val="5188747C"/>
    <w:rsid w:val="55C44544"/>
    <w:rsid w:val="59DC597E"/>
    <w:rsid w:val="684734A4"/>
    <w:rsid w:val="6AC25DB6"/>
    <w:rsid w:val="72A2006A"/>
    <w:rsid w:val="739F3CB9"/>
    <w:rsid w:val="765972B7"/>
    <w:rsid w:val="7C891A4E"/>
    <w:rsid w:val="7D730CDE"/>
    <w:rsid w:val="9AD7BD06"/>
    <w:rsid w:val="B3CD4F58"/>
    <w:rsid w:val="DBFD99F7"/>
    <w:rsid w:val="E17B55D2"/>
    <w:rsid w:val="EEEBB2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unhideWhenUsed/>
    <w:qFormat/>
    <w:uiPriority w:val="99"/>
    <w:pPr>
      <w:widowControl w:val="0"/>
      <w:suppressAutoHyphens/>
      <w:spacing w:before="100" w:beforeAutospacing="1" w:after="100" w:afterAutospacing="1"/>
    </w:pPr>
    <w:rPr>
      <w:rFonts w:ascii="Calibri" w:hAnsi="Calibri" w:eastAsia="宋体" w:cs="Times New Roman"/>
      <w:sz w:val="24"/>
      <w:szCs w:val="24"/>
      <w:lang w:val="en-US" w:eastAsia="zh-CN" w:bidi="ar-SA"/>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首行缩进 21"/>
    <w:basedOn w:val="1"/>
    <w:qFormat/>
    <w:uiPriority w:val="0"/>
    <w:pPr>
      <w:spacing w:after="120"/>
      <w:ind w:left="420" w:leftChars="200" w:firstLine="420"/>
    </w:p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8</Pages>
  <Words>1714</Words>
  <Characters>9770</Characters>
  <Lines>81</Lines>
  <Paragraphs>22</Paragraphs>
  <TotalTime>7</TotalTime>
  <ScaleCrop>false</ScaleCrop>
  <LinksUpToDate>false</LinksUpToDate>
  <CharactersWithSpaces>11462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2025-01-22T02:52:00Z</dcterms:created>
  <dc:creator>史小军</dc:creator>
  <cp:lastModifiedBy>uos</cp:lastModifiedBy>
  <cp:lastPrinted>2025-01-15T05:56:00Z</cp:lastPrinted>
  <dcterms:modified xsi:type="dcterms:W3CDTF">2025-01-26T12:56:27Z</dcterms:modified>
  <dc:title>北京市商务局权责清单及廉政风险防控表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ADA132E8ABE647FD9AB2BD75BD4BFC5A_13</vt:lpwstr>
  </property>
  <property fmtid="{D5CDD505-2E9C-101B-9397-08002B2CF9AE}" pid="4" name="KSOTemplateDocerSaveRecord">
    <vt:lpwstr>eyJoZGlkIjoiZWUyOWY3NmNiNzVlZDYzOWVlM2NkY2VhYmIwNjY3NWUiLCJ1c2VySWQiOiI2OTYwMDg1MjkifQ==</vt:lpwstr>
  </property>
</Properties>
</file>