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 w:eastAsiaTheme="minorEastAsia"/>
        </w:rPr>
      </w:pPr>
      <w:bookmarkStart w:id="0" w:name="_Toc35393809"/>
      <w:bookmarkStart w:id="1" w:name="_Toc28359022"/>
      <w:r>
        <w:rPr>
          <w:rFonts w:hint="eastAsia" w:ascii="Times New Roman" w:cs="Times New Roman" w:hAnsiTheme="minorEastAsia" w:eastAsiaTheme="minorEastAsia"/>
        </w:rPr>
        <w:t>全域数字化运营专业群2023年度教学基地资源及平台建设项目</w:t>
      </w:r>
      <w:r>
        <w:rPr>
          <w:rFonts w:ascii="Times New Roman" w:cs="Times New Roman" w:hAnsiTheme="minorEastAsia" w:eastAsiaTheme="minorEastAsia"/>
        </w:rPr>
        <w:t>成交结果公告</w:t>
      </w:r>
      <w:bookmarkEnd w:id="0"/>
      <w:bookmarkEnd w:id="1"/>
    </w:p>
    <w:p>
      <w:pPr>
        <w:ind w:left="1960" w:hanging="1960" w:hangingChars="700"/>
        <w:rPr>
          <w:rFonts w:hint="default" w:ascii="Times New Roman" w:hAnsiTheme="minorEastAsia" w:eastAsiaTheme="minorEastAsia"/>
          <w:sz w:val="28"/>
          <w:szCs w:val="28"/>
          <w:lang w:val="en-US" w:eastAsia="zh-CN"/>
        </w:rPr>
      </w:pPr>
      <w:r>
        <w:rPr>
          <w:rFonts w:ascii="Times New Roman" w:hAnsiTheme="minorEastAsia" w:eastAsiaTheme="minorEastAsia"/>
          <w:sz w:val="28"/>
          <w:szCs w:val="28"/>
        </w:rPr>
        <w:t>一、</w:t>
      </w:r>
      <w:r>
        <w:rPr>
          <w:rFonts w:hint="eastAsia" w:ascii="Times New Roman" w:hAnsiTheme="minorEastAsia" w:eastAsiaTheme="minorEastAsia"/>
          <w:sz w:val="28"/>
          <w:szCs w:val="28"/>
          <w:lang w:val="en-US" w:eastAsia="zh-CN"/>
        </w:rPr>
        <w:t>项目</w:t>
      </w:r>
      <w:r>
        <w:rPr>
          <w:rFonts w:ascii="Times New Roman" w:hAnsiTheme="minorEastAsia" w:eastAsiaTheme="minorEastAsia"/>
          <w:sz w:val="28"/>
          <w:szCs w:val="28"/>
        </w:rPr>
        <w:t>编号：</w:t>
      </w:r>
      <w:r>
        <w:rPr>
          <w:rFonts w:hint="eastAsia" w:ascii="Times New Roman" w:hAnsiTheme="minorEastAsia" w:eastAsiaTheme="minorEastAsia"/>
          <w:sz w:val="28"/>
          <w:szCs w:val="28"/>
          <w:lang w:eastAsia="zh-CN"/>
        </w:rPr>
        <w:t>BJJQ-202</w:t>
      </w:r>
      <w:r>
        <w:rPr>
          <w:rFonts w:hint="eastAsia" w:ascii="Times New Roman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="Times New Roman" w:hAnsiTheme="minorEastAsia" w:eastAsiaTheme="minorEastAsia"/>
          <w:sz w:val="28"/>
          <w:szCs w:val="28"/>
          <w:lang w:eastAsia="zh-CN"/>
        </w:rPr>
        <w:t>-</w:t>
      </w:r>
      <w:r>
        <w:rPr>
          <w:rFonts w:hint="eastAsia" w:ascii="Times New Roman" w:hAnsiTheme="minorEastAsia" w:eastAsiaTheme="minorEastAsia"/>
          <w:sz w:val="28"/>
          <w:szCs w:val="28"/>
          <w:lang w:val="en-US" w:eastAsia="zh-CN"/>
        </w:rPr>
        <w:t>538</w:t>
      </w:r>
    </w:p>
    <w:p>
      <w:pPr>
        <w:ind w:left="1960" w:hanging="1960" w:hangingChars="700"/>
        <w:rPr>
          <w:rFonts w:hint="eastAsia" w:ascii="Times New Roman" w:hAnsi="Times New Roman" w:eastAsiaTheme="minorEastAsia"/>
          <w:sz w:val="28"/>
          <w:szCs w:val="28"/>
          <w:highlight w:val="none"/>
          <w:u w:val="single"/>
          <w:lang w:eastAsia="zh-CN"/>
        </w:rPr>
      </w:pPr>
      <w:r>
        <w:rPr>
          <w:rFonts w:ascii="Times New Roman" w:hAnsiTheme="minorEastAsia" w:eastAsiaTheme="minorEastAsia"/>
          <w:sz w:val="28"/>
          <w:szCs w:val="28"/>
        </w:rPr>
        <w:t>二、项目名称：</w:t>
      </w:r>
      <w:r>
        <w:rPr>
          <w:rFonts w:hint="eastAsia" w:ascii="Times New Roman" w:hAnsiTheme="minorEastAsia" w:eastAsiaTheme="minorEastAsia"/>
          <w:sz w:val="28"/>
          <w:szCs w:val="28"/>
        </w:rPr>
        <w:t>全域数字化运营专业群2023年度教学基地资源及平台建设项目</w:t>
      </w:r>
    </w:p>
    <w:p>
      <w:pPr>
        <w:rPr>
          <w:rFonts w:ascii="Times New Roman" w:hAnsi="Times New Roman" w:eastAsiaTheme="minorEastAsia"/>
          <w:sz w:val="28"/>
          <w:szCs w:val="28"/>
          <w:highlight w:val="none"/>
        </w:rPr>
      </w:pPr>
      <w:r>
        <w:rPr>
          <w:rFonts w:ascii="Times New Roman" w:hAnsiTheme="minorEastAsia" w:eastAsiaTheme="minorEastAsia"/>
          <w:sz w:val="28"/>
          <w:szCs w:val="28"/>
          <w:highlight w:val="none"/>
        </w:rPr>
        <w:t>三、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</w:rPr>
        <w:t>成交</w:t>
      </w:r>
      <w:r>
        <w:rPr>
          <w:rFonts w:ascii="Times New Roman" w:hAnsiTheme="minorEastAsia" w:eastAsiaTheme="minorEastAsia"/>
          <w:sz w:val="28"/>
          <w:szCs w:val="28"/>
          <w:highlight w:val="none"/>
        </w:rPr>
        <w:t>信息</w:t>
      </w:r>
    </w:p>
    <w:p>
      <w:pPr>
        <w:rPr>
          <w:rFonts w:hint="eastAsia" w:ascii="Times New Roman" w:hAnsiTheme="minorEastAsia" w:eastAsiaTheme="minorEastAsia"/>
          <w:sz w:val="28"/>
          <w:szCs w:val="28"/>
          <w:highlight w:val="none"/>
          <w:lang w:val="en-US" w:eastAsia="zh-CN"/>
        </w:rPr>
      </w:pPr>
      <w:r>
        <w:rPr>
          <w:rFonts w:ascii="Times New Roman" w:hAnsiTheme="minorEastAsia" w:eastAsiaTheme="minorEastAsia"/>
          <w:sz w:val="28"/>
          <w:szCs w:val="28"/>
          <w:highlight w:val="none"/>
        </w:rPr>
        <w:t>供应商名称：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</w:rPr>
        <w:t>天津锐驰科技有限公司</w:t>
      </w:r>
      <w:r>
        <w:rPr>
          <w:rFonts w:hint="eastAsia" w:ascii="Times New Roman" w:hAnsiTheme="minorEastAsia" w:eastAsiaTheme="minorEastAsia"/>
          <w:color w:val="auto"/>
          <w:sz w:val="28"/>
          <w:szCs w:val="28"/>
          <w:highlight w:val="none"/>
          <w:lang w:eastAsia="zh-CN"/>
        </w:rPr>
        <w:t>（91120118MA06EFN57X）</w:t>
      </w:r>
    </w:p>
    <w:p>
      <w:pPr>
        <w:rPr>
          <w:rFonts w:hint="default" w:ascii="Times New Roman" w:hAnsiTheme="minorEastAsia" w:eastAsiaTheme="minorEastAsia"/>
          <w:sz w:val="28"/>
          <w:szCs w:val="28"/>
          <w:highlight w:val="none"/>
          <w:lang w:val="en-US" w:eastAsia="zh-CN"/>
        </w:rPr>
      </w:pPr>
      <w:r>
        <w:rPr>
          <w:rFonts w:ascii="Times New Roman" w:hAnsiTheme="minorEastAsia" w:eastAsiaTheme="minorEastAsia"/>
          <w:sz w:val="28"/>
          <w:szCs w:val="28"/>
          <w:highlight w:val="none"/>
        </w:rPr>
        <w:t>供应商地址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  <w:lang w:eastAsia="zh-CN"/>
        </w:rPr>
        <w:t>：天津自贸试验区（东疆保税港区）重庆道以南，呼伦贝尔路以西铭海中心5号楼-4、10-707（天津东疆商服商务秘书服务有限公司滨海新区分公司托管第132号）</w:t>
      </w:r>
    </w:p>
    <w:p>
      <w:pPr>
        <w:rPr>
          <w:rFonts w:ascii="Times New Roman" w:hAnsi="Times New Roman" w:eastAsiaTheme="minorEastAsia"/>
          <w:sz w:val="28"/>
          <w:szCs w:val="28"/>
          <w:highlight w:val="none"/>
        </w:rPr>
      </w:pPr>
      <w:r>
        <w:rPr>
          <w:rFonts w:ascii="Times New Roman" w:hAnsiTheme="minorEastAsia" w:eastAsiaTheme="minorEastAsia"/>
          <w:sz w:val="28"/>
          <w:szCs w:val="28"/>
          <w:highlight w:val="none"/>
        </w:rPr>
        <w:t>成交金额：</w:t>
      </w:r>
    </w:p>
    <w:p>
      <w:pPr>
        <w:rPr>
          <w:rFonts w:hint="eastAsia" w:ascii="Times New Roman" w:hAnsiTheme="minorEastAsia" w:eastAsiaTheme="minorEastAsia"/>
          <w:b w:val="0"/>
          <w:bCs w:val="0"/>
          <w:sz w:val="28"/>
          <w:szCs w:val="28"/>
        </w:rPr>
      </w:pPr>
      <w:r>
        <w:rPr>
          <w:rFonts w:hint="eastAsia" w:ascii="Times New Roman" w:hAnsiTheme="minorEastAsia" w:eastAsiaTheme="minorEastAsia"/>
          <w:b w:val="0"/>
          <w:bCs w:val="0"/>
          <w:sz w:val="28"/>
          <w:szCs w:val="28"/>
        </w:rPr>
        <w:t>人民币大写：陆拾玖万叁仟元整</w:t>
      </w:r>
    </w:p>
    <w:p>
      <w:pPr>
        <w:rPr>
          <w:rFonts w:hint="eastAsia" w:ascii="Times New Roman" w:hAnsiTheme="minorEastAsia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Theme="minorEastAsia" w:eastAsiaTheme="minorEastAsia"/>
          <w:b w:val="0"/>
          <w:bCs w:val="0"/>
          <w:sz w:val="28"/>
          <w:szCs w:val="28"/>
        </w:rPr>
        <w:t>人民币小写：693000.00</w:t>
      </w:r>
      <w:r>
        <w:rPr>
          <w:rFonts w:hint="eastAsia" w:ascii="Times New Roman" w:hAnsiTheme="minorEastAsia" w:eastAsiaTheme="minorEastAsia"/>
          <w:b w:val="0"/>
          <w:bCs w:val="0"/>
          <w:sz w:val="28"/>
          <w:szCs w:val="28"/>
          <w:lang w:val="en-US" w:eastAsia="zh-CN"/>
        </w:rPr>
        <w:t>元</w:t>
      </w:r>
    </w:p>
    <w:p>
      <w:pPr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Theme="minorEastAsia" w:eastAsiaTheme="minorEastAsia"/>
          <w:sz w:val="28"/>
          <w:szCs w:val="28"/>
        </w:rPr>
        <w:t>四、主要标的信息</w:t>
      </w:r>
    </w:p>
    <w:tbl>
      <w:tblPr>
        <w:tblStyle w:val="11"/>
        <w:tblW w:w="8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717" w:type="dxa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ascii="Times New Roman" w:hAnsiTheme="minorEastAsia" w:eastAsiaTheme="minorEastAsia"/>
                <w:kern w:val="0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8717" w:type="dxa"/>
            <w:vAlign w:val="center"/>
          </w:tcPr>
          <w:p>
            <w:pPr>
              <w:jc w:val="both"/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</w:rPr>
              <w:t>名称</w:t>
            </w: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eastAsia="zh-CN"/>
              </w:rPr>
              <w:t>：全域数字化运营专业群2023年度教学基地资源及平台建设</w:t>
            </w:r>
            <w:bookmarkStart w:id="2" w:name="_GoBack"/>
            <w:bookmarkEnd w:id="2"/>
          </w:p>
          <w:p>
            <w:pPr>
              <w:jc w:val="both"/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</w:rPr>
              <w:t>服务范围</w:t>
            </w: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eastAsia="zh-CN"/>
              </w:rPr>
              <w:t>：完成全域数字化运营专业群2023年度教学基地资源及平台建设项目相关服务工作</w:t>
            </w:r>
          </w:p>
          <w:p>
            <w:pPr>
              <w:jc w:val="both"/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</w:rPr>
              <w:t>服务要求</w:t>
            </w: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val="en-US" w:eastAsia="zh-CN"/>
              </w:rPr>
              <w:t>详见竞争性磋商文件</w:t>
            </w:r>
          </w:p>
          <w:p>
            <w:pPr>
              <w:jc w:val="both"/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</w:rPr>
              <w:t>服务时间</w:t>
            </w: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val="en-US" w:eastAsia="zh-CN"/>
              </w:rPr>
              <w:t>详见竞争性磋商文件</w:t>
            </w:r>
          </w:p>
          <w:p>
            <w:pPr>
              <w:jc w:val="both"/>
              <w:rPr>
                <w:rFonts w:hint="default" w:ascii="Times New Roman" w:hAnsi="Times New Roman" w:eastAsiaTheme="minor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</w:rPr>
              <w:t>服务标准</w:t>
            </w:r>
            <w:r>
              <w:rPr>
                <w:rFonts w:ascii="Times New Roman" w:hAnsiTheme="minorEastAsia" w:eastAsiaTheme="minorEastAsia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val="en-US" w:eastAsia="zh-CN"/>
              </w:rPr>
              <w:t>详见竞争性磋商文件</w:t>
            </w:r>
          </w:p>
        </w:tc>
      </w:tr>
    </w:tbl>
    <w:p>
      <w:pPr>
        <w:numPr>
          <w:ilvl w:val="0"/>
          <w:numId w:val="1"/>
        </w:numPr>
        <w:ind w:left="560" w:hanging="560" w:hangingChars="200"/>
        <w:rPr>
          <w:rFonts w:hint="eastAsia" w:ascii="Times New Roman" w:hAnsiTheme="minorEastAsia" w:eastAsiaTheme="minorEastAsia"/>
          <w:sz w:val="28"/>
          <w:szCs w:val="28"/>
          <w:highlight w:val="none"/>
        </w:rPr>
      </w:pPr>
      <w:r>
        <w:rPr>
          <w:rFonts w:ascii="Times New Roman" w:hAnsiTheme="minorEastAsia" w:eastAsiaTheme="minorEastAsia"/>
          <w:sz w:val="28"/>
          <w:szCs w:val="28"/>
          <w:highlight w:val="none"/>
        </w:rPr>
        <w:t>评审专家名单：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</w:rPr>
        <w:t>梁建宇、周纪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</w:rPr>
        <w:t>孙迎辉</w:t>
      </w:r>
    </w:p>
    <w:p>
      <w:pPr>
        <w:numPr>
          <w:ilvl w:val="0"/>
          <w:numId w:val="0"/>
        </w:numPr>
        <w:rPr>
          <w:rFonts w:ascii="Times New Roman" w:hAnsi="Times New Roman" w:eastAsiaTheme="minorEastAsia"/>
          <w:color w:val="auto"/>
          <w:sz w:val="28"/>
          <w:szCs w:val="28"/>
          <w:highlight w:val="none"/>
        </w:rPr>
      </w:pPr>
      <w:r>
        <w:rPr>
          <w:rFonts w:ascii="Times New Roman" w:hAnsiTheme="minorEastAsia" w:eastAsiaTheme="minorEastAsia"/>
          <w:color w:val="auto"/>
          <w:sz w:val="28"/>
          <w:szCs w:val="28"/>
          <w:highlight w:val="none"/>
        </w:rPr>
        <w:t>六、代理服务收费标准及金额：详见竞争性磋商文件，金额为</w:t>
      </w:r>
      <w:r>
        <w:rPr>
          <w:rFonts w:hint="eastAsia" w:ascii="Times New Roman" w:hAnsiTheme="minorEastAsia" w:eastAsiaTheme="minorEastAsia"/>
          <w:color w:val="auto"/>
          <w:sz w:val="28"/>
          <w:szCs w:val="28"/>
          <w:highlight w:val="none"/>
        </w:rPr>
        <w:t>人民币</w:t>
      </w:r>
      <w:r>
        <w:rPr>
          <w:rFonts w:hint="eastAsia" w:ascii="Times New Roman" w:hAnsiTheme="minorEastAsia" w:eastAsiaTheme="minorEastAsia"/>
          <w:color w:val="auto"/>
          <w:sz w:val="28"/>
          <w:szCs w:val="28"/>
          <w:highlight w:val="none"/>
          <w:lang w:val="en-US" w:eastAsia="zh-CN"/>
        </w:rPr>
        <w:t>1.5万</w:t>
      </w:r>
      <w:r>
        <w:rPr>
          <w:rFonts w:ascii="Times New Roman" w:hAnsiTheme="minorEastAsia" w:eastAsiaTheme="minorEastAsia"/>
          <w:color w:val="auto"/>
          <w:sz w:val="28"/>
          <w:szCs w:val="28"/>
          <w:highlight w:val="none"/>
        </w:rPr>
        <w:t>元。</w:t>
      </w:r>
    </w:p>
    <w:p>
      <w:pPr>
        <w:rPr>
          <w:rFonts w:ascii="Times New Roman" w:hAnsi="Times New Roman" w:eastAsiaTheme="minorEastAsia"/>
          <w:kern w:val="0"/>
          <w:sz w:val="28"/>
          <w:szCs w:val="28"/>
        </w:rPr>
      </w:pPr>
      <w:r>
        <w:rPr>
          <w:rFonts w:ascii="Times New Roman" w:hAnsiTheme="minorEastAsia" w:eastAsiaTheme="minorEastAsia"/>
          <w:sz w:val="28"/>
          <w:szCs w:val="28"/>
        </w:rPr>
        <w:t>七、公告期限</w:t>
      </w:r>
      <w:r>
        <w:rPr>
          <w:rFonts w:hint="eastAsia" w:ascii="Times New Roman" w:hAnsiTheme="minorEastAsia" w:eastAsiaTheme="minorEastAsia"/>
          <w:sz w:val="28"/>
          <w:szCs w:val="28"/>
        </w:rPr>
        <w:t>：</w:t>
      </w:r>
      <w:r>
        <w:rPr>
          <w:rFonts w:ascii="Times New Roman" w:hAnsiTheme="minorEastAsia" w:eastAsiaTheme="minorEastAsia"/>
          <w:kern w:val="0"/>
          <w:sz w:val="28"/>
          <w:szCs w:val="28"/>
        </w:rPr>
        <w:t>自本公告发布之日起</w:t>
      </w:r>
      <w:r>
        <w:rPr>
          <w:rFonts w:ascii="Times New Roman" w:hAnsi="Times New Roman" w:eastAsiaTheme="minorEastAsia"/>
          <w:kern w:val="0"/>
          <w:sz w:val="28"/>
          <w:szCs w:val="28"/>
        </w:rPr>
        <w:t>1</w:t>
      </w:r>
      <w:r>
        <w:rPr>
          <w:rFonts w:ascii="Times New Roman" w:hAnsiTheme="minorEastAsia" w:eastAsiaTheme="minorEastAsia"/>
          <w:kern w:val="0"/>
          <w:sz w:val="28"/>
          <w:szCs w:val="28"/>
        </w:rPr>
        <w:t>个工作日。</w:t>
      </w:r>
    </w:p>
    <w:p>
      <w:pPr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Theme="minorEastAsia" w:eastAsiaTheme="minorEastAsia"/>
          <w:sz w:val="28"/>
          <w:szCs w:val="28"/>
        </w:rPr>
        <w:t>八、其他补充事宜</w:t>
      </w:r>
      <w:r>
        <w:rPr>
          <w:rFonts w:hint="eastAsia" w:ascii="Times New Roman" w:hAnsiTheme="minorEastAsia" w:eastAsiaTheme="minorEastAsia"/>
          <w:sz w:val="28"/>
          <w:szCs w:val="28"/>
        </w:rPr>
        <w:t>：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lang w:val="en-US" w:eastAsia="zh-CN"/>
        </w:rPr>
        <w:t>8.1本公告同时在中国政府采购网（http://www.ccgp.gov.cn）以及北京汇诚金桥国际招标咨询有限公司网站（http://www.hcjq.net/）发布</w:t>
      </w:r>
      <w:r>
        <w:rPr>
          <w:rFonts w:hint="eastAsia" w:ascii="Times New Roman" w:hAnsiTheme="minorEastAsia" w:eastAsiaTheme="minorEastAsia"/>
          <w:kern w:val="0"/>
          <w:sz w:val="28"/>
          <w:szCs w:val="28"/>
        </w:rPr>
        <w:t>。</w:t>
      </w:r>
    </w:p>
    <w:p>
      <w:pPr>
        <w:rPr>
          <w:rFonts w:hint="default" w:ascii="Times New Roman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lang w:val="en-US" w:eastAsia="zh-CN"/>
        </w:rPr>
        <w:t>8.2采购代理机构项目编号：BJJQ-2023-538</w:t>
      </w:r>
    </w:p>
    <w:p>
      <w:pPr>
        <w:rPr>
          <w:rFonts w:ascii="Times New Roman" w:hAnsi="Times New Roman" w:eastAsiaTheme="minorEastAsia"/>
          <w:kern w:val="0"/>
          <w:sz w:val="28"/>
          <w:szCs w:val="28"/>
        </w:rPr>
      </w:pPr>
      <w:r>
        <w:rPr>
          <w:rFonts w:ascii="Times New Roman" w:hAnsiTheme="minorEastAsia" w:eastAsiaTheme="minorEastAsia"/>
          <w:kern w:val="0"/>
          <w:sz w:val="28"/>
          <w:szCs w:val="28"/>
        </w:rPr>
        <w:t>九、凡对本次公告内容提出询问，请按以下方式联系。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</w:rPr>
        <w:t>1.采购人信息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</w:rPr>
        <w:t>名    称：北京市对外贸易学校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</w:rPr>
        <w:t>地    址：北京市朝阳区来广营水岸南街1号院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</w:rPr>
        <w:t>联系方式：孙老师，010-84998627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</w:rPr>
        <w:t>2.采购代理机构信息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名    称：北京汇诚金桥国际招标咨询有限公司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地　　址：北京市东城区朝内大街南竹杆胡同6号北京INN3号楼9层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联系方式：010-65244876、65915024、65699706（传真：010-65951037）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3.项目联系方式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  <w:u w:val="none"/>
          <w:lang w:eastAsia="zh-CN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项目联系人：</w:t>
      </w: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  <w:lang w:val="en-US" w:eastAsia="zh-CN"/>
        </w:rPr>
        <w:t>吕晓萌</w:t>
      </w: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、</w:t>
      </w: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  <w:lang w:val="en-US" w:eastAsia="zh-CN"/>
        </w:rPr>
        <w:t>侯雷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电　　  话：010-65244876、65915024、65699706</w:t>
      </w:r>
    </w:p>
    <w:p>
      <w:pPr>
        <w:rPr>
          <w:rFonts w:ascii="Times New Roman" w:hAnsi="Times New Roman" w:eastAsiaTheme="minorEastAsia"/>
          <w:kern w:val="0"/>
          <w:sz w:val="28"/>
          <w:szCs w:val="28"/>
          <w:u w:val="none"/>
        </w:rPr>
      </w:pPr>
      <w:r>
        <w:rPr>
          <w:rFonts w:ascii="Times New Roman" w:hAnsiTheme="minorEastAsia" w:eastAsiaTheme="minorEastAsia"/>
          <w:kern w:val="0"/>
          <w:sz w:val="28"/>
          <w:szCs w:val="28"/>
          <w:u w:val="none"/>
        </w:rPr>
        <w:t>十、附件</w:t>
      </w:r>
    </w:p>
    <w:p>
      <w:pPr>
        <w:ind w:firstLine="560" w:firstLineChars="200"/>
        <w:rPr>
          <w:rFonts w:ascii="Times New Roman" w:hAnsi="Times New Roman" w:eastAsiaTheme="minorEastAsia"/>
          <w:kern w:val="0"/>
          <w:sz w:val="28"/>
          <w:szCs w:val="28"/>
          <w:highlight w:val="none"/>
        </w:rPr>
      </w:pPr>
      <w:r>
        <w:rPr>
          <w:rFonts w:ascii="Times New Roman" w:hAnsi="Times New Roman" w:eastAsiaTheme="minorEastAsia"/>
          <w:kern w:val="0"/>
          <w:sz w:val="28"/>
          <w:szCs w:val="28"/>
          <w:highlight w:val="none"/>
        </w:rPr>
        <w:t>1.</w:t>
      </w:r>
      <w:r>
        <w:rPr>
          <w:rFonts w:hint="eastAsia" w:ascii="Times New Roman" w:hAnsi="Times New Roman" w:eastAsiaTheme="minorEastAsia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Times New Roman" w:hAnsiTheme="minorEastAsia" w:eastAsiaTheme="minorEastAsia"/>
          <w:kern w:val="0"/>
          <w:sz w:val="28"/>
          <w:szCs w:val="28"/>
          <w:highlight w:val="none"/>
        </w:rPr>
        <w:t>采购文件</w:t>
      </w:r>
    </w:p>
    <w:p>
      <w:pPr>
        <w:ind w:firstLine="560" w:firstLineChars="200"/>
        <w:rPr>
          <w:rFonts w:hint="eastAsia" w:ascii="Times New Roman" w:hAnsi="Times New Roman" w:eastAsiaTheme="minorEastAsia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Theme="minorEastAsia"/>
          <w:kern w:val="0"/>
          <w:sz w:val="28"/>
          <w:szCs w:val="28"/>
          <w:highlight w:val="none"/>
        </w:rPr>
        <w:t>2.</w:t>
      </w:r>
      <w:r>
        <w:rPr>
          <w:rFonts w:hint="eastAsia"/>
          <w:highlight w:val="none"/>
        </w:rPr>
        <w:t xml:space="preserve"> </w:t>
      </w:r>
      <w:r>
        <w:rPr>
          <w:rFonts w:hint="eastAsia" w:ascii="Times New Roman" w:hAnsi="Times New Roman" w:eastAsiaTheme="minorEastAsia"/>
          <w:kern w:val="0"/>
          <w:sz w:val="28"/>
          <w:szCs w:val="28"/>
          <w:highlight w:val="none"/>
        </w:rPr>
        <w:t>成交结果公告</w:t>
      </w:r>
    </w:p>
    <w:p>
      <w:pPr>
        <w:pStyle w:val="2"/>
        <w:rPr>
          <w:rFonts w:hint="default" w:eastAsiaTheme="minorEastAsia"/>
          <w:highlight w:val="yellow"/>
          <w:lang w:val="en-US" w:eastAsia="zh-CN"/>
        </w:rPr>
      </w:pPr>
    </w:p>
    <w:sectPr>
      <w:pgSz w:w="11906" w:h="16838"/>
      <w:pgMar w:top="1054" w:right="1689" w:bottom="986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8E48C"/>
    <w:multiLevelType w:val="singleLevel"/>
    <w:tmpl w:val="FF88E48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IxOWY0NzRkZGVlNTMyNjRmZDYyOGE2N2RhYzU2MmIifQ=="/>
  </w:docVars>
  <w:rsids>
    <w:rsidRoot w:val="004D1179"/>
    <w:rsid w:val="00147303"/>
    <w:rsid w:val="001522D8"/>
    <w:rsid w:val="00234D3F"/>
    <w:rsid w:val="002504DE"/>
    <w:rsid w:val="00276863"/>
    <w:rsid w:val="002E0CF8"/>
    <w:rsid w:val="002F603A"/>
    <w:rsid w:val="004538B4"/>
    <w:rsid w:val="004A6330"/>
    <w:rsid w:val="004D1179"/>
    <w:rsid w:val="006608AB"/>
    <w:rsid w:val="006A5509"/>
    <w:rsid w:val="00705D10"/>
    <w:rsid w:val="00721F31"/>
    <w:rsid w:val="007F65BC"/>
    <w:rsid w:val="00886072"/>
    <w:rsid w:val="00937E70"/>
    <w:rsid w:val="009E442F"/>
    <w:rsid w:val="00A37E61"/>
    <w:rsid w:val="00A42D63"/>
    <w:rsid w:val="00A57AAC"/>
    <w:rsid w:val="00A83878"/>
    <w:rsid w:val="00AE5856"/>
    <w:rsid w:val="00B33BC6"/>
    <w:rsid w:val="00BE42EF"/>
    <w:rsid w:val="00DA630C"/>
    <w:rsid w:val="00E5461A"/>
    <w:rsid w:val="00E96133"/>
    <w:rsid w:val="00F46C6B"/>
    <w:rsid w:val="018267AF"/>
    <w:rsid w:val="020C4C70"/>
    <w:rsid w:val="03EC521E"/>
    <w:rsid w:val="05464000"/>
    <w:rsid w:val="054E6F2D"/>
    <w:rsid w:val="07D024CC"/>
    <w:rsid w:val="08A00893"/>
    <w:rsid w:val="0B3A16E1"/>
    <w:rsid w:val="0D7D3AE0"/>
    <w:rsid w:val="0F9F6435"/>
    <w:rsid w:val="109051A1"/>
    <w:rsid w:val="10F72396"/>
    <w:rsid w:val="121A3DC5"/>
    <w:rsid w:val="131131FE"/>
    <w:rsid w:val="148D5AE3"/>
    <w:rsid w:val="177A1C9E"/>
    <w:rsid w:val="19205FA3"/>
    <w:rsid w:val="19A23E8E"/>
    <w:rsid w:val="1A183941"/>
    <w:rsid w:val="1A571FB5"/>
    <w:rsid w:val="1C8F338B"/>
    <w:rsid w:val="1CC67789"/>
    <w:rsid w:val="1D0A6D38"/>
    <w:rsid w:val="1F2C25E7"/>
    <w:rsid w:val="21BC38A1"/>
    <w:rsid w:val="21FD5C02"/>
    <w:rsid w:val="225011CB"/>
    <w:rsid w:val="266463FF"/>
    <w:rsid w:val="27EF48BC"/>
    <w:rsid w:val="287A5449"/>
    <w:rsid w:val="2BAB444F"/>
    <w:rsid w:val="2BFA18BC"/>
    <w:rsid w:val="2C511C0A"/>
    <w:rsid w:val="2C857DC3"/>
    <w:rsid w:val="2CFD61CA"/>
    <w:rsid w:val="2E04768E"/>
    <w:rsid w:val="2E354D2E"/>
    <w:rsid w:val="2E9E5414"/>
    <w:rsid w:val="2FE4658C"/>
    <w:rsid w:val="31444344"/>
    <w:rsid w:val="329844F3"/>
    <w:rsid w:val="3441747D"/>
    <w:rsid w:val="348C13D5"/>
    <w:rsid w:val="398744AB"/>
    <w:rsid w:val="3A284BB8"/>
    <w:rsid w:val="3BDC4546"/>
    <w:rsid w:val="3C1734E9"/>
    <w:rsid w:val="3D863DB2"/>
    <w:rsid w:val="3EDD2A0C"/>
    <w:rsid w:val="3EF648B5"/>
    <w:rsid w:val="3FFF32E6"/>
    <w:rsid w:val="402D6A74"/>
    <w:rsid w:val="40925367"/>
    <w:rsid w:val="42A85D50"/>
    <w:rsid w:val="436B2672"/>
    <w:rsid w:val="46A1151C"/>
    <w:rsid w:val="46AC08FF"/>
    <w:rsid w:val="46CA13EB"/>
    <w:rsid w:val="47C57A97"/>
    <w:rsid w:val="4804133B"/>
    <w:rsid w:val="482B3EAD"/>
    <w:rsid w:val="4920352C"/>
    <w:rsid w:val="49DE5C11"/>
    <w:rsid w:val="4DAA423E"/>
    <w:rsid w:val="4F500178"/>
    <w:rsid w:val="518B13E8"/>
    <w:rsid w:val="54E22DEA"/>
    <w:rsid w:val="56177135"/>
    <w:rsid w:val="56C4419F"/>
    <w:rsid w:val="56EC3725"/>
    <w:rsid w:val="5707058D"/>
    <w:rsid w:val="59120843"/>
    <w:rsid w:val="59A02AF2"/>
    <w:rsid w:val="5AF47CEC"/>
    <w:rsid w:val="5DF926C6"/>
    <w:rsid w:val="5E415B07"/>
    <w:rsid w:val="5F8C30F4"/>
    <w:rsid w:val="60620CE3"/>
    <w:rsid w:val="60FF1587"/>
    <w:rsid w:val="61D27BB9"/>
    <w:rsid w:val="63121F8A"/>
    <w:rsid w:val="638B2643"/>
    <w:rsid w:val="63A72C58"/>
    <w:rsid w:val="64D40032"/>
    <w:rsid w:val="65416AF3"/>
    <w:rsid w:val="655F11C9"/>
    <w:rsid w:val="657E3EE4"/>
    <w:rsid w:val="672A5BD4"/>
    <w:rsid w:val="674B130E"/>
    <w:rsid w:val="680945CE"/>
    <w:rsid w:val="6AD67117"/>
    <w:rsid w:val="6CFD4A1E"/>
    <w:rsid w:val="6DD41DA8"/>
    <w:rsid w:val="6F0362C2"/>
    <w:rsid w:val="6F0C424C"/>
    <w:rsid w:val="6F0D7054"/>
    <w:rsid w:val="6F136D3F"/>
    <w:rsid w:val="6F6B4AFF"/>
    <w:rsid w:val="70AC49AC"/>
    <w:rsid w:val="70BA47FB"/>
    <w:rsid w:val="717E59D2"/>
    <w:rsid w:val="72A36CF5"/>
    <w:rsid w:val="758B3FD3"/>
    <w:rsid w:val="76F028A3"/>
    <w:rsid w:val="797E3DCC"/>
    <w:rsid w:val="79DE456E"/>
    <w:rsid w:val="7B4A5E3D"/>
    <w:rsid w:val="7B592CCC"/>
    <w:rsid w:val="7B6812F5"/>
    <w:rsid w:val="7C57484E"/>
    <w:rsid w:val="7E9E47A0"/>
    <w:rsid w:val="7EAA4BA3"/>
    <w:rsid w:val="7EBA1DFA"/>
    <w:rsid w:val="7EE4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link w:val="2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Plain Text"/>
    <w:basedOn w:val="1"/>
    <w:link w:val="26"/>
    <w:qFormat/>
    <w:uiPriority w:val="99"/>
    <w:rPr>
      <w:rFonts w:ascii="宋体" w:hAnsi="Courier New"/>
    </w:rPr>
  </w:style>
  <w:style w:type="paragraph" w:styleId="8">
    <w:name w:val="Balloon Text"/>
    <w:basedOn w:val="1"/>
    <w:link w:val="28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locked/>
    <w:uiPriority w:val="0"/>
  </w:style>
  <w:style w:type="character" w:styleId="15">
    <w:name w:val="FollowedHyperlink"/>
    <w:basedOn w:val="13"/>
    <w:semiHidden/>
    <w:unhideWhenUsed/>
    <w:qFormat/>
    <w:uiPriority w:val="99"/>
    <w:rPr>
      <w:color w:val="000000"/>
      <w:u w:val="none"/>
    </w:rPr>
  </w:style>
  <w:style w:type="character" w:styleId="16">
    <w:name w:val="Emphasis"/>
    <w:basedOn w:val="13"/>
    <w:qFormat/>
    <w:locked/>
    <w:uiPriority w:val="0"/>
  </w:style>
  <w:style w:type="character" w:styleId="17">
    <w:name w:val="HTML Definition"/>
    <w:basedOn w:val="13"/>
    <w:semiHidden/>
    <w:unhideWhenUsed/>
    <w:qFormat/>
    <w:uiPriority w:val="99"/>
  </w:style>
  <w:style w:type="character" w:styleId="18">
    <w:name w:val="HTML Acronym"/>
    <w:basedOn w:val="13"/>
    <w:semiHidden/>
    <w:unhideWhenUsed/>
    <w:qFormat/>
    <w:uiPriority w:val="99"/>
    <w:rPr>
      <w:color w:val="E22323"/>
    </w:rPr>
  </w:style>
  <w:style w:type="character" w:styleId="19">
    <w:name w:val="HTML Variable"/>
    <w:basedOn w:val="13"/>
    <w:semiHidden/>
    <w:unhideWhenUsed/>
    <w:qFormat/>
    <w:uiPriority w:val="99"/>
  </w:style>
  <w:style w:type="character" w:styleId="20">
    <w:name w:val="Hyperlink"/>
    <w:basedOn w:val="13"/>
    <w:semiHidden/>
    <w:unhideWhenUsed/>
    <w:qFormat/>
    <w:uiPriority w:val="99"/>
    <w:rPr>
      <w:color w:val="000000"/>
      <w:u w:val="none"/>
    </w:rPr>
  </w:style>
  <w:style w:type="character" w:styleId="21">
    <w:name w:val="HTML Code"/>
    <w:basedOn w:val="13"/>
    <w:semiHidden/>
    <w:unhideWhenUsed/>
    <w:qFormat/>
    <w:uiPriority w:val="99"/>
    <w:rPr>
      <w:rFonts w:ascii="Courier New" w:hAnsi="Courier New"/>
      <w:sz w:val="20"/>
    </w:rPr>
  </w:style>
  <w:style w:type="character" w:styleId="22">
    <w:name w:val="annotation reference"/>
    <w:semiHidden/>
    <w:qFormat/>
    <w:uiPriority w:val="99"/>
    <w:rPr>
      <w:rFonts w:cs="Times New Roman"/>
      <w:sz w:val="21"/>
      <w:szCs w:val="21"/>
    </w:rPr>
  </w:style>
  <w:style w:type="character" w:styleId="23">
    <w:name w:val="HTML Cite"/>
    <w:basedOn w:val="13"/>
    <w:semiHidden/>
    <w:unhideWhenUsed/>
    <w:qFormat/>
    <w:uiPriority w:val="99"/>
  </w:style>
  <w:style w:type="character" w:customStyle="1" w:styleId="24">
    <w:name w:val="标题 1 Char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5">
    <w:name w:val="标题 2 Char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6">
    <w:name w:val="纯文本 Char"/>
    <w:link w:val="7"/>
    <w:qFormat/>
    <w:locked/>
    <w:uiPriority w:val="99"/>
    <w:rPr>
      <w:rFonts w:ascii="宋体" w:hAnsi="Courier New" w:cs="Times New Roman"/>
    </w:rPr>
  </w:style>
  <w:style w:type="character" w:customStyle="1" w:styleId="27">
    <w:name w:val="批注文字 Char"/>
    <w:basedOn w:val="13"/>
    <w:link w:val="6"/>
    <w:semiHidden/>
    <w:qFormat/>
    <w:uiPriority w:val="99"/>
  </w:style>
  <w:style w:type="character" w:customStyle="1" w:styleId="28">
    <w:name w:val="批注框文本 Char"/>
    <w:link w:val="8"/>
    <w:semiHidden/>
    <w:qFormat/>
    <w:uiPriority w:val="99"/>
    <w:rPr>
      <w:sz w:val="0"/>
      <w:szCs w:val="0"/>
    </w:rPr>
  </w:style>
  <w:style w:type="character" w:customStyle="1" w:styleId="29">
    <w:name w:val="页眉 Char"/>
    <w:link w:val="10"/>
    <w:qFormat/>
    <w:uiPriority w:val="99"/>
    <w:rPr>
      <w:sz w:val="18"/>
      <w:szCs w:val="18"/>
    </w:rPr>
  </w:style>
  <w:style w:type="character" w:customStyle="1" w:styleId="30">
    <w:name w:val="页脚 Char"/>
    <w:link w:val="9"/>
    <w:qFormat/>
    <w:uiPriority w:val="99"/>
    <w:rPr>
      <w:sz w:val="18"/>
      <w:szCs w:val="18"/>
    </w:rPr>
  </w:style>
  <w:style w:type="character" w:customStyle="1" w:styleId="31">
    <w:name w:val="before"/>
    <w:basedOn w:val="13"/>
    <w:qFormat/>
    <w:uiPriority w:val="0"/>
    <w:rPr>
      <w:shd w:val="clear" w:fill="E22323"/>
    </w:rPr>
  </w:style>
  <w:style w:type="character" w:customStyle="1" w:styleId="32">
    <w:name w:val="hover5"/>
    <w:basedOn w:val="13"/>
    <w:qFormat/>
    <w:uiPriority w:val="0"/>
    <w:rPr>
      <w:color w:val="0063BA"/>
    </w:rPr>
  </w:style>
  <w:style w:type="character" w:customStyle="1" w:styleId="33">
    <w:name w:val="margin_right202"/>
    <w:basedOn w:val="13"/>
    <w:qFormat/>
    <w:uiPriority w:val="0"/>
  </w:style>
  <w:style w:type="character" w:customStyle="1" w:styleId="34">
    <w:name w:val="active5"/>
    <w:basedOn w:val="13"/>
    <w:qFormat/>
    <w:uiPriority w:val="0"/>
    <w:rPr>
      <w:color w:val="FFFFFF"/>
      <w:shd w:val="clear" w:fill="E22323"/>
    </w:rPr>
  </w:style>
  <w:style w:type="character" w:customStyle="1" w:styleId="35">
    <w:name w:val="margin_right20"/>
    <w:basedOn w:val="13"/>
    <w:qFormat/>
    <w:uiPriority w:val="0"/>
  </w:style>
  <w:style w:type="character" w:customStyle="1" w:styleId="36">
    <w:name w:val="active6"/>
    <w:basedOn w:val="13"/>
    <w:qFormat/>
    <w:uiPriority w:val="0"/>
    <w:rPr>
      <w:color w:val="FFFFFF"/>
      <w:shd w:val="clear" w:fill="E22323"/>
    </w:rPr>
  </w:style>
  <w:style w:type="character" w:customStyle="1" w:styleId="37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8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643</Words>
  <Characters>838</Characters>
  <Lines>1</Lines>
  <Paragraphs>1</Paragraphs>
  <TotalTime>22</TotalTime>
  <ScaleCrop>false</ScaleCrop>
  <LinksUpToDate>false</LinksUpToDate>
  <CharactersWithSpaces>858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q212</cp:lastModifiedBy>
  <cp:lastPrinted>2023-06-26T07:27:56Z</cp:lastPrinted>
  <dcterms:modified xsi:type="dcterms:W3CDTF">2023-06-26T07:43:06Z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9EAD7996A2F2461CB779B7EBF5A26182</vt:lpwstr>
  </property>
  <property fmtid="{D5CDD505-2E9C-101B-9397-08002B2CF9AE}" pid="4" name="commondata">
    <vt:lpwstr>eyJoZGlkIjoiMzdlZWYxNTgwNmI3ZmFlMmRhMTRmNDk3Nzc3NDk0MjAifQ==</vt:lpwstr>
  </property>
</Properties>
</file>